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AAD" w:rsidRDefault="009A4AAD" w:rsidP="009A4AAD">
      <w:pPr>
        <w:pStyle w:val="NormalWeb"/>
        <w:shd w:val="clear" w:color="auto" w:fill="FFFFFF"/>
        <w:spacing w:before="0" w:beforeAutospacing="0" w:after="150" w:afterAutospacing="0"/>
        <w:ind w:firstLine="240"/>
        <w:rPr>
          <w:rFonts w:asciiTheme="majorBidi" w:hAnsiTheme="majorBidi" w:cstheme="majorBidi"/>
          <w:color w:val="FF0000"/>
        </w:rPr>
      </w:pPr>
      <w:r w:rsidRPr="009A4AAD">
        <w:rPr>
          <w:rFonts w:asciiTheme="majorBidi" w:hAnsiTheme="majorBidi" w:cstheme="majorBidi"/>
          <w:color w:val="FF0000"/>
        </w:rPr>
        <w:drawing>
          <wp:inline distT="0" distB="0" distL="0" distR="0">
            <wp:extent cx="5143500" cy="6858000"/>
            <wp:effectExtent l="19050" t="0" r="0" b="0"/>
            <wp:docPr id="1" name="Picture 1" descr="C:\Users\Admin\Downloads\moors recognized in MD cou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moors recognized in MD court.jpeg"/>
                    <pic:cNvPicPr>
                      <a:picLocks noChangeAspect="1" noChangeArrowheads="1"/>
                    </pic:cNvPicPr>
                  </pic:nvPicPr>
                  <pic:blipFill>
                    <a:blip r:embed="rId7"/>
                    <a:srcRect/>
                    <a:stretch>
                      <a:fillRect/>
                    </a:stretch>
                  </pic:blipFill>
                  <pic:spPr bwMode="auto">
                    <a:xfrm>
                      <a:off x="0" y="0"/>
                      <a:ext cx="5143500" cy="6858000"/>
                    </a:xfrm>
                    <a:prstGeom prst="rect">
                      <a:avLst/>
                    </a:prstGeom>
                    <a:noFill/>
                    <a:ln w="9525">
                      <a:noFill/>
                      <a:miter lim="800000"/>
                      <a:headEnd/>
                      <a:tailEnd/>
                    </a:ln>
                  </pic:spPr>
                </pic:pic>
              </a:graphicData>
            </a:graphic>
          </wp:inline>
        </w:drawing>
      </w:r>
    </w:p>
    <w:p w:rsidR="009A4AAD" w:rsidRPr="00EB3844" w:rsidRDefault="009A4AAD" w:rsidP="009A4AAD">
      <w:pPr>
        <w:pStyle w:val="NormalWeb"/>
        <w:shd w:val="clear" w:color="auto" w:fill="FFFFFF"/>
        <w:spacing w:before="0" w:beforeAutospacing="0" w:after="150" w:afterAutospacing="0"/>
        <w:rPr>
          <w:rFonts w:asciiTheme="majorBidi" w:hAnsiTheme="majorBidi" w:cstheme="majorBidi"/>
          <w:b/>
          <w:bCs/>
          <w:sz w:val="40"/>
          <w:szCs w:val="40"/>
        </w:rPr>
      </w:pPr>
      <w:r w:rsidRPr="00EB3844">
        <w:rPr>
          <w:rFonts w:asciiTheme="majorBidi" w:hAnsiTheme="majorBidi" w:cstheme="majorBidi"/>
          <w:b/>
          <w:bCs/>
          <w:sz w:val="40"/>
          <w:szCs w:val="40"/>
        </w:rPr>
        <w:t xml:space="preserve">  Moorish National Republic Federal Government</w:t>
      </w:r>
      <w:r w:rsidR="00EB3844">
        <w:rPr>
          <w:rFonts w:asciiTheme="majorBidi" w:hAnsiTheme="majorBidi" w:cstheme="majorBidi"/>
          <w:b/>
          <w:bCs/>
          <w:sz w:val="40"/>
          <w:szCs w:val="40"/>
        </w:rPr>
        <w:t>:</w:t>
      </w:r>
    </w:p>
    <w:p w:rsidR="009A4AAD" w:rsidRPr="00EB3844" w:rsidRDefault="009A4AAD" w:rsidP="009A4AAD">
      <w:pPr>
        <w:pStyle w:val="NormalWeb"/>
        <w:shd w:val="clear" w:color="auto" w:fill="FFFFFF"/>
        <w:spacing w:before="0" w:beforeAutospacing="0" w:after="0" w:afterAutospacing="0"/>
        <w:rPr>
          <w:rFonts w:asciiTheme="majorBidi" w:hAnsiTheme="majorBidi" w:cstheme="majorBidi"/>
          <w:sz w:val="40"/>
          <w:szCs w:val="40"/>
        </w:rPr>
      </w:pPr>
      <w:r w:rsidRPr="00EB3844">
        <w:rPr>
          <w:rFonts w:asciiTheme="majorBidi" w:hAnsiTheme="majorBidi" w:cstheme="majorBidi"/>
          <w:b/>
          <w:bCs/>
          <w:sz w:val="40"/>
          <w:szCs w:val="40"/>
        </w:rPr>
        <w:t xml:space="preserve">                                    Document.</w:t>
      </w:r>
    </w:p>
    <w:p w:rsidR="009A4AAD" w:rsidRDefault="009A4AAD" w:rsidP="009A4AAD">
      <w:pPr>
        <w:pStyle w:val="NormalWeb"/>
        <w:shd w:val="clear" w:color="auto" w:fill="FFFFFF"/>
        <w:spacing w:before="0" w:beforeAutospacing="0" w:after="150" w:afterAutospacing="0"/>
        <w:ind w:firstLine="240"/>
        <w:rPr>
          <w:rFonts w:asciiTheme="majorBidi" w:hAnsiTheme="majorBidi" w:cstheme="majorBidi"/>
          <w:color w:val="FF0000"/>
        </w:rPr>
      </w:pPr>
    </w:p>
    <w:p w:rsidR="009A4AAD" w:rsidRPr="009A4AAD" w:rsidRDefault="009A4AAD" w:rsidP="009A4AAD">
      <w:pPr>
        <w:pStyle w:val="Heading1"/>
        <w:shd w:val="clear" w:color="auto" w:fill="FFFFFF"/>
        <w:spacing w:before="300" w:after="150"/>
        <w:jc w:val="both"/>
        <w:rPr>
          <w:rFonts w:asciiTheme="majorBidi" w:hAnsiTheme="majorBidi"/>
          <w:b/>
          <w:bCs/>
          <w:color w:val="auto"/>
          <w:sz w:val="40"/>
          <w:szCs w:val="40"/>
        </w:rPr>
      </w:pPr>
      <w:r w:rsidRPr="009A4AAD">
        <w:rPr>
          <w:rFonts w:asciiTheme="majorBidi" w:hAnsiTheme="majorBidi"/>
          <w:b/>
          <w:bCs/>
          <w:color w:val="auto"/>
          <w:sz w:val="40"/>
          <w:szCs w:val="40"/>
        </w:rPr>
        <w:lastRenderedPageBreak/>
        <w:t>28 U.S. Code § 1738 - State and Territorial statutes and judicial proceedings; full faith and credit</w:t>
      </w:r>
    </w:p>
    <w:p w:rsidR="009A4AAD" w:rsidRPr="00AA1652" w:rsidRDefault="009A4AAD" w:rsidP="009A4AAD">
      <w:pPr>
        <w:pStyle w:val="NormalWeb"/>
        <w:shd w:val="clear" w:color="auto" w:fill="FFFFFF"/>
        <w:spacing w:before="0" w:beforeAutospacing="0" w:after="150" w:afterAutospacing="0"/>
        <w:ind w:firstLine="240"/>
        <w:rPr>
          <w:rFonts w:asciiTheme="majorBidi" w:hAnsiTheme="majorBidi" w:cstheme="majorBidi"/>
          <w:b/>
          <w:bCs/>
          <w:color w:val="FF0000"/>
          <w:u w:val="single"/>
        </w:rPr>
      </w:pPr>
      <w:r w:rsidRPr="00AA1652">
        <w:rPr>
          <w:rFonts w:asciiTheme="majorBidi" w:hAnsiTheme="majorBidi" w:cstheme="majorBidi"/>
          <w:b/>
          <w:bCs/>
          <w:color w:val="FF0000"/>
          <w:u w:val="single"/>
        </w:rPr>
        <w:t>The Acts of the legislature of any State, Territory, or Possession of the United States, or copies thereof, shall be authenticated by affixing the seal of such State, Territory or Possession thereto.</w:t>
      </w:r>
    </w:p>
    <w:p w:rsidR="009A4AAD" w:rsidRPr="00AA1652" w:rsidRDefault="009A4AAD" w:rsidP="009A4AAD">
      <w:pPr>
        <w:pStyle w:val="NormalWeb"/>
        <w:shd w:val="clear" w:color="auto" w:fill="FFFFFF"/>
        <w:spacing w:before="0" w:beforeAutospacing="0" w:after="150" w:afterAutospacing="0"/>
        <w:ind w:firstLine="240"/>
        <w:rPr>
          <w:rFonts w:asciiTheme="majorBidi" w:hAnsiTheme="majorBidi" w:cstheme="majorBidi"/>
          <w:color w:val="FF0000"/>
        </w:rPr>
      </w:pPr>
      <w:r w:rsidRPr="00AA1652">
        <w:rPr>
          <w:rFonts w:asciiTheme="majorBidi" w:hAnsiTheme="majorBidi" w:cstheme="majorBidi"/>
          <w:b/>
          <w:bCs/>
          <w:color w:val="FF0000"/>
          <w:u w:val="single"/>
        </w:rPr>
        <w:t>The records and judicial proceedings of any court of any such State, Territory or Possession, or copies thereof, shall be proved or admitted in other courts within the United States and its Territories and Possessions by the attestation of the clerk and seal of the court annexed</w:t>
      </w:r>
      <w:r w:rsidRPr="00AA1652">
        <w:rPr>
          <w:rFonts w:asciiTheme="majorBidi" w:hAnsiTheme="majorBidi" w:cstheme="majorBidi"/>
          <w:color w:val="FF0000"/>
        </w:rPr>
        <w:t>, if a seal exists, together with a certificate of a judge of the court that the said attestation is in proper form.</w:t>
      </w:r>
    </w:p>
    <w:p w:rsidR="009A4AAD" w:rsidRPr="00AA1652" w:rsidRDefault="009A4AAD" w:rsidP="009A4AAD">
      <w:pPr>
        <w:pStyle w:val="NormalWeb"/>
        <w:shd w:val="clear" w:color="auto" w:fill="FFFFFF"/>
        <w:spacing w:before="0" w:beforeAutospacing="0" w:after="150" w:afterAutospacing="0"/>
        <w:ind w:firstLine="240"/>
        <w:rPr>
          <w:rFonts w:asciiTheme="majorBidi" w:hAnsiTheme="majorBidi" w:cstheme="majorBidi"/>
          <w:b/>
          <w:bCs/>
          <w:color w:val="FF0000"/>
          <w:u w:val="single"/>
        </w:rPr>
      </w:pPr>
      <w:r w:rsidRPr="00AA1652">
        <w:rPr>
          <w:rFonts w:asciiTheme="majorBidi" w:hAnsiTheme="majorBidi" w:cstheme="majorBidi"/>
          <w:b/>
          <w:bCs/>
          <w:color w:val="FF0000"/>
          <w:u w:val="single"/>
        </w:rPr>
        <w:t>Such Acts, records and judicial proceedings or copies thereof, so authenticated, shall have the same full faith and credit in every court within the United States and its Territories and Possessions as they have by law or usage in the courts of such State, Territory or Possession from which they are taken.</w:t>
      </w:r>
    </w:p>
    <w:p w:rsidR="009A4AAD" w:rsidRPr="009A4AAD" w:rsidRDefault="009A4AAD" w:rsidP="009A4AAD">
      <w:pPr>
        <w:spacing w:before="100" w:beforeAutospacing="1" w:after="100" w:afterAutospacing="1"/>
        <w:outlineLvl w:val="2"/>
        <w:rPr>
          <w:rFonts w:ascii="Times New Roman" w:eastAsia="Times New Roman" w:hAnsi="Times New Roman" w:cs="Times New Roman"/>
          <w:b/>
          <w:bCs/>
          <w:sz w:val="40"/>
          <w:szCs w:val="40"/>
        </w:rPr>
      </w:pPr>
      <w:r w:rsidRPr="009A4AAD">
        <w:rPr>
          <w:rFonts w:ascii="Times New Roman" w:eastAsia="Times New Roman" w:hAnsi="Times New Roman" w:cs="Times New Roman"/>
          <w:b/>
          <w:bCs/>
          <w:sz w:val="40"/>
          <w:szCs w:val="40"/>
        </w:rPr>
        <w:t>Article IV, Section 1</w:t>
      </w:r>
    </w:p>
    <w:p w:rsidR="009A4AAD" w:rsidRPr="009A4AAD" w:rsidRDefault="009A4AAD" w:rsidP="009A4AAD">
      <w:pPr>
        <w:spacing w:before="100" w:beforeAutospacing="1" w:after="100" w:afterAutospacing="1"/>
        <w:jc w:val="left"/>
        <w:outlineLvl w:val="1"/>
        <w:rPr>
          <w:rFonts w:ascii="Times New Roman" w:eastAsia="Times New Roman" w:hAnsi="Times New Roman" w:cs="Times New Roman"/>
          <w:b/>
          <w:bCs/>
          <w:sz w:val="40"/>
          <w:szCs w:val="40"/>
        </w:rPr>
      </w:pPr>
      <w:r w:rsidRPr="009A4AAD">
        <w:rPr>
          <w:rFonts w:ascii="Times New Roman" w:eastAsia="Times New Roman" w:hAnsi="Times New Roman" w:cs="Times New Roman"/>
          <w:b/>
          <w:bCs/>
          <w:sz w:val="40"/>
          <w:szCs w:val="40"/>
        </w:rPr>
        <w:t>States, Citizenship, New States</w:t>
      </w:r>
    </w:p>
    <w:p w:rsidR="009A4AAD" w:rsidRPr="005B0194" w:rsidRDefault="009A4AAD" w:rsidP="009A4AAD">
      <w:pPr>
        <w:spacing w:before="100" w:beforeAutospacing="1" w:after="100" w:afterAutospacing="1"/>
        <w:jc w:val="left"/>
        <w:rPr>
          <w:rFonts w:ascii="Times New Roman" w:eastAsia="Times New Roman" w:hAnsi="Times New Roman" w:cs="Times New Roman"/>
          <w:color w:val="FF0000"/>
          <w:sz w:val="24"/>
          <w:szCs w:val="24"/>
        </w:rPr>
      </w:pPr>
      <w:r w:rsidRPr="005B0194">
        <w:rPr>
          <w:rFonts w:ascii="Times New Roman" w:eastAsia="Times New Roman" w:hAnsi="Times New Roman" w:cs="Times New Roman"/>
          <w:b/>
          <w:bCs/>
          <w:color w:val="FF0000"/>
          <w:sz w:val="24"/>
          <w:szCs w:val="24"/>
          <w:highlight w:val="yellow"/>
        </w:rPr>
        <w:t>Full Faith and Cred</w:t>
      </w:r>
      <w:r w:rsidRPr="00EB3844">
        <w:rPr>
          <w:rFonts w:ascii="Times New Roman" w:eastAsia="Times New Roman" w:hAnsi="Times New Roman" w:cs="Times New Roman"/>
          <w:b/>
          <w:bCs/>
          <w:color w:val="FF0000"/>
          <w:sz w:val="24"/>
          <w:szCs w:val="24"/>
          <w:highlight w:val="yellow"/>
        </w:rPr>
        <w:t>it</w:t>
      </w:r>
      <w:r w:rsidRPr="00EB3844">
        <w:rPr>
          <w:rFonts w:ascii="Times New Roman" w:eastAsia="Times New Roman" w:hAnsi="Times New Roman" w:cs="Times New Roman"/>
          <w:color w:val="FF0000"/>
          <w:sz w:val="24"/>
          <w:szCs w:val="24"/>
          <w:highlight w:val="yellow"/>
        </w:rPr>
        <w:t xml:space="preserve"> </w:t>
      </w:r>
      <w:r w:rsidRPr="00EB3844">
        <w:rPr>
          <w:rFonts w:ascii="Times New Roman" w:eastAsia="Times New Roman" w:hAnsi="Times New Roman" w:cs="Times New Roman"/>
          <w:b/>
          <w:bCs/>
          <w:color w:val="FF0000"/>
          <w:sz w:val="24"/>
          <w:szCs w:val="24"/>
          <w:highlight w:val="yellow"/>
        </w:rPr>
        <w:t>shall be given in each State to the public Acts, Records, and judicial Proceedings of every other State</w:t>
      </w:r>
      <w:r w:rsidRPr="003D1E93">
        <w:rPr>
          <w:rFonts w:ascii="Times New Roman" w:eastAsia="Times New Roman" w:hAnsi="Times New Roman" w:cs="Times New Roman"/>
          <w:color w:val="FF0000"/>
          <w:sz w:val="24"/>
          <w:szCs w:val="24"/>
          <w:highlight w:val="yellow"/>
        </w:rPr>
        <w:t>.</w:t>
      </w:r>
      <w:r w:rsidRPr="005B0194">
        <w:rPr>
          <w:rFonts w:ascii="Times New Roman" w:eastAsia="Times New Roman" w:hAnsi="Times New Roman" w:cs="Times New Roman"/>
          <w:color w:val="FF0000"/>
          <w:sz w:val="24"/>
          <w:szCs w:val="24"/>
        </w:rPr>
        <w:t xml:space="preserve"> And the Congress may by general Laws prescribe the Manner in which such Acts, Records and Proceedings shall be proved, and the Effect thereof.</w:t>
      </w:r>
    </w:p>
    <w:p w:rsidR="009A4AAD" w:rsidRPr="00EB3844" w:rsidRDefault="009A4AAD" w:rsidP="009A4AAD">
      <w:pPr>
        <w:pStyle w:val="Heading2"/>
        <w:rPr>
          <w:color w:val="FF0000"/>
        </w:rPr>
      </w:pPr>
      <w:r w:rsidRPr="00EB3844">
        <w:rPr>
          <w:color w:val="FF0000"/>
        </w:rPr>
        <w:t>Full Faith and Credit Clause</w:t>
      </w:r>
    </w:p>
    <w:p w:rsidR="009A4AAD" w:rsidRPr="00EB3844" w:rsidRDefault="009A4AAD" w:rsidP="009A4AAD">
      <w:pPr>
        <w:pStyle w:val="NormalWeb"/>
        <w:shd w:val="clear" w:color="auto" w:fill="FFFFFF"/>
        <w:spacing w:before="0" w:beforeAutospacing="0" w:after="150" w:afterAutospacing="0"/>
        <w:ind w:firstLine="240"/>
        <w:rPr>
          <w:rFonts w:asciiTheme="majorBidi" w:hAnsiTheme="majorBidi" w:cstheme="majorBidi"/>
          <w:b/>
          <w:bCs/>
          <w:color w:val="FF0000"/>
        </w:rPr>
      </w:pPr>
      <w:r w:rsidRPr="00EB3844">
        <w:rPr>
          <w:rStyle w:val="hvr"/>
          <w:rFonts w:asciiTheme="majorBidi" w:hAnsiTheme="majorBidi" w:cstheme="majorBidi"/>
          <w:b/>
          <w:bCs/>
          <w:color w:val="FF0000"/>
        </w:rPr>
        <w:t>The Full Faith and Credit Clause—Article IV,Section</w:t>
      </w:r>
      <w:r w:rsidRPr="00EB3844">
        <w:rPr>
          <w:rFonts w:asciiTheme="majorBidi" w:hAnsiTheme="majorBidi" w:cstheme="majorBidi"/>
          <w:b/>
          <w:bCs/>
          <w:color w:val="FF0000"/>
        </w:rPr>
        <w:t xml:space="preserve"> 1, of </w:t>
      </w:r>
      <w:r w:rsidRPr="00EB3844">
        <w:rPr>
          <w:rStyle w:val="hvr"/>
          <w:rFonts w:asciiTheme="majorBidi" w:hAnsiTheme="majorBidi" w:cstheme="majorBidi"/>
          <w:b/>
          <w:bCs/>
          <w:color w:val="FF0000"/>
        </w:rPr>
        <w:t>the U.S.Constitution</w:t>
      </w:r>
      <w:r w:rsidRPr="0015647C">
        <w:rPr>
          <w:rStyle w:val="hvr"/>
          <w:rFonts w:asciiTheme="majorBidi" w:hAnsiTheme="majorBidi" w:cstheme="majorBidi"/>
          <w:color w:val="FF0000"/>
        </w:rPr>
        <w:t xml:space="preserve">—provides that the various states must recognize legislative acts, public records,and judicial </w:t>
      </w:r>
      <w:r w:rsidRPr="003D1E93">
        <w:rPr>
          <w:rStyle w:val="hvr"/>
          <w:rFonts w:asciiTheme="majorBidi" w:hAnsiTheme="majorBidi" w:cstheme="majorBidi"/>
          <w:color w:val="FF0000"/>
        </w:rPr>
        <w:t>decisions</w:t>
      </w:r>
      <w:r w:rsidRPr="003D1E93">
        <w:rPr>
          <w:rFonts w:asciiTheme="majorBidi" w:hAnsiTheme="majorBidi" w:cstheme="majorBidi"/>
          <w:color w:val="FF0000"/>
        </w:rPr>
        <w:t xml:space="preserve"> of </w:t>
      </w:r>
      <w:r w:rsidRPr="003D1E93">
        <w:rPr>
          <w:rStyle w:val="hvr"/>
          <w:rFonts w:asciiTheme="majorBidi" w:hAnsiTheme="majorBidi" w:cstheme="majorBidi"/>
          <w:color w:val="FF0000"/>
        </w:rPr>
        <w:t>the</w:t>
      </w:r>
      <w:r w:rsidRPr="0015647C">
        <w:rPr>
          <w:rStyle w:val="hvr"/>
          <w:rFonts w:asciiTheme="majorBidi" w:hAnsiTheme="majorBidi" w:cstheme="majorBidi"/>
          <w:color w:val="FF0000"/>
        </w:rPr>
        <w:t xml:space="preserve"> other states within the United States.</w:t>
      </w:r>
      <w:r w:rsidRPr="0015647C">
        <w:rPr>
          <w:rFonts w:asciiTheme="majorBidi" w:hAnsiTheme="majorBidi" w:cstheme="majorBidi"/>
          <w:color w:val="FF0000"/>
        </w:rPr>
        <w:t xml:space="preserve"> It </w:t>
      </w:r>
      <w:r w:rsidRPr="0015647C">
        <w:rPr>
          <w:rStyle w:val="hvr"/>
          <w:rFonts w:asciiTheme="majorBidi" w:hAnsiTheme="majorBidi" w:cstheme="majorBidi"/>
          <w:color w:val="FF0000"/>
        </w:rPr>
        <w:t xml:space="preserve">states that"Full Faith </w:t>
      </w:r>
      <w:r w:rsidRPr="003D1E93">
        <w:rPr>
          <w:rStyle w:val="hvr"/>
          <w:rFonts w:asciiTheme="majorBidi" w:hAnsiTheme="majorBidi" w:cstheme="majorBidi"/>
          <w:color w:val="FF0000"/>
        </w:rPr>
        <w:t>and Credit shall</w:t>
      </w:r>
      <w:r w:rsidRPr="003D1E93">
        <w:rPr>
          <w:rFonts w:asciiTheme="majorBidi" w:hAnsiTheme="majorBidi" w:cstheme="majorBidi"/>
          <w:color w:val="FF0000"/>
        </w:rPr>
        <w:t xml:space="preserve"> be </w:t>
      </w:r>
      <w:r w:rsidRPr="003D1E93">
        <w:rPr>
          <w:rStyle w:val="hvr"/>
          <w:rFonts w:asciiTheme="majorBidi" w:hAnsiTheme="majorBidi" w:cstheme="majorBidi"/>
          <w:color w:val="FF0000"/>
        </w:rPr>
        <w:t>given</w:t>
      </w:r>
      <w:r w:rsidRPr="003D1E93">
        <w:rPr>
          <w:rFonts w:asciiTheme="majorBidi" w:hAnsiTheme="majorBidi" w:cstheme="majorBidi"/>
          <w:color w:val="FF0000"/>
        </w:rPr>
        <w:t xml:space="preserve"> in </w:t>
      </w:r>
      <w:r w:rsidRPr="003D1E93">
        <w:rPr>
          <w:rStyle w:val="hvr"/>
          <w:rFonts w:asciiTheme="majorBidi" w:hAnsiTheme="majorBidi" w:cstheme="majorBidi"/>
          <w:color w:val="FF0000"/>
        </w:rPr>
        <w:t>each</w:t>
      </w:r>
      <w:r w:rsidRPr="0015647C">
        <w:rPr>
          <w:rStyle w:val="hvr"/>
          <w:rFonts w:asciiTheme="majorBidi" w:hAnsiTheme="majorBidi" w:cstheme="majorBidi"/>
          <w:color w:val="FF0000"/>
        </w:rPr>
        <w:t xml:space="preserve"> </w:t>
      </w:r>
      <w:r w:rsidRPr="003D1E93">
        <w:rPr>
          <w:rStyle w:val="hvr"/>
          <w:rFonts w:asciiTheme="majorBidi" w:hAnsiTheme="majorBidi" w:cstheme="majorBidi"/>
          <w:color w:val="FF0000"/>
        </w:rPr>
        <w:t>State</w:t>
      </w:r>
      <w:r w:rsidRPr="003D1E93">
        <w:rPr>
          <w:rFonts w:asciiTheme="majorBidi" w:hAnsiTheme="majorBidi" w:cstheme="majorBidi"/>
          <w:color w:val="FF0000"/>
        </w:rPr>
        <w:t xml:space="preserve"> to </w:t>
      </w:r>
      <w:r w:rsidRPr="003D1E93">
        <w:rPr>
          <w:rStyle w:val="hvr"/>
          <w:rFonts w:asciiTheme="majorBidi" w:hAnsiTheme="majorBidi" w:cstheme="majorBidi"/>
          <w:color w:val="FF0000"/>
        </w:rPr>
        <w:t>the</w:t>
      </w:r>
      <w:r w:rsidRPr="0015647C">
        <w:rPr>
          <w:rStyle w:val="hvr"/>
          <w:rFonts w:asciiTheme="majorBidi" w:hAnsiTheme="majorBidi" w:cstheme="majorBidi"/>
          <w:color w:val="FF0000"/>
        </w:rPr>
        <w:t xml:space="preserve"> public Acts, Records, and judicial </w:t>
      </w:r>
      <w:r w:rsidRPr="003D1E93">
        <w:rPr>
          <w:rStyle w:val="hvr"/>
          <w:rFonts w:asciiTheme="majorBidi" w:hAnsiTheme="majorBidi" w:cstheme="majorBidi"/>
          <w:color w:val="FF0000"/>
        </w:rPr>
        <w:t>Proceedings</w:t>
      </w:r>
      <w:r w:rsidRPr="003D1E93">
        <w:rPr>
          <w:rFonts w:asciiTheme="majorBidi" w:hAnsiTheme="majorBidi" w:cstheme="majorBidi"/>
          <w:color w:val="FF0000"/>
        </w:rPr>
        <w:t xml:space="preserve"> of </w:t>
      </w:r>
      <w:r w:rsidRPr="003D1E93">
        <w:rPr>
          <w:rStyle w:val="hvr"/>
          <w:rFonts w:asciiTheme="majorBidi" w:hAnsiTheme="majorBidi" w:cstheme="majorBidi"/>
          <w:color w:val="FF0000"/>
        </w:rPr>
        <w:t>every</w:t>
      </w:r>
      <w:r w:rsidRPr="0015647C">
        <w:rPr>
          <w:rStyle w:val="hvr"/>
          <w:rFonts w:asciiTheme="majorBidi" w:hAnsiTheme="majorBidi" w:cstheme="majorBidi"/>
          <w:color w:val="FF0000"/>
        </w:rPr>
        <w:t xml:space="preserve"> other State."The statute that </w:t>
      </w:r>
      <w:r w:rsidRPr="003D1E93">
        <w:rPr>
          <w:rStyle w:val="hvr"/>
          <w:rFonts w:asciiTheme="majorBidi" w:hAnsiTheme="majorBidi" w:cstheme="majorBidi"/>
          <w:color w:val="FF0000"/>
        </w:rPr>
        <w:t>implements the clause,</w:t>
      </w:r>
      <w:r w:rsidRPr="003D1E93">
        <w:rPr>
          <w:rFonts w:asciiTheme="majorBidi" w:hAnsiTheme="majorBidi" w:cstheme="majorBidi"/>
          <w:color w:val="FF0000"/>
        </w:rPr>
        <w:t xml:space="preserve"> </w:t>
      </w:r>
      <w:r w:rsidRPr="009A4AAD">
        <w:rPr>
          <w:rFonts w:asciiTheme="majorBidi" w:hAnsiTheme="majorBidi" w:cstheme="majorBidi"/>
          <w:b/>
          <w:bCs/>
          <w:color w:val="FF0000"/>
        </w:rPr>
        <w:t xml:space="preserve">28 </w:t>
      </w:r>
      <w:r w:rsidRPr="009A4AAD">
        <w:rPr>
          <w:rStyle w:val="hvr"/>
          <w:rFonts w:asciiTheme="majorBidi" w:hAnsiTheme="majorBidi" w:cstheme="majorBidi"/>
          <w:b/>
          <w:bCs/>
          <w:color w:val="FF0000"/>
        </w:rPr>
        <w:t>U.S.C.A.</w:t>
      </w:r>
      <w:r w:rsidRPr="009A4AAD">
        <w:rPr>
          <w:rFonts w:asciiTheme="majorBidi" w:hAnsiTheme="majorBidi" w:cstheme="majorBidi"/>
          <w:b/>
          <w:bCs/>
          <w:color w:val="FF0000"/>
        </w:rPr>
        <w:t xml:space="preserve"> § </w:t>
      </w:r>
      <w:r w:rsidRPr="009A4AAD">
        <w:rPr>
          <w:rStyle w:val="hvr"/>
          <w:rFonts w:asciiTheme="majorBidi" w:hAnsiTheme="majorBidi" w:cstheme="majorBidi"/>
          <w:b/>
          <w:bCs/>
          <w:color w:val="FF0000"/>
        </w:rPr>
        <w:t>1738</w:t>
      </w:r>
      <w:r w:rsidRPr="009A4AAD">
        <w:rPr>
          <w:rStyle w:val="hvr"/>
          <w:rFonts w:asciiTheme="majorBidi" w:hAnsiTheme="majorBidi" w:cstheme="majorBidi"/>
          <w:color w:val="FF0000"/>
        </w:rPr>
        <w:t>,</w:t>
      </w:r>
      <w:r w:rsidRPr="003D1E93">
        <w:rPr>
          <w:rStyle w:val="hvr"/>
          <w:rFonts w:asciiTheme="majorBidi" w:hAnsiTheme="majorBidi" w:cstheme="majorBidi"/>
          <w:color w:val="FF0000"/>
        </w:rPr>
        <w:t xml:space="preserve"> </w:t>
      </w:r>
      <w:r w:rsidRPr="003D1E93">
        <w:rPr>
          <w:rFonts w:asciiTheme="majorBidi" w:hAnsiTheme="majorBidi" w:cstheme="majorBidi"/>
          <w:b/>
          <w:bCs/>
          <w:color w:val="FF0000"/>
        </w:rPr>
        <w:t>-</w:t>
      </w:r>
      <w:r w:rsidRPr="0015647C">
        <w:rPr>
          <w:rFonts w:asciiTheme="majorBidi" w:hAnsiTheme="majorBidi" w:cstheme="majorBidi"/>
          <w:b/>
          <w:bCs/>
          <w:color w:val="FF0000"/>
        </w:rPr>
        <w:t xml:space="preserve"> State and Territorial statutes and judicial proceedings; full faith and credit</w:t>
      </w:r>
      <w:r w:rsidRPr="0015647C">
        <w:rPr>
          <w:rFonts w:asciiTheme="majorBidi" w:hAnsiTheme="majorBidi" w:cstheme="majorBidi"/>
          <w:color w:val="FF0000"/>
          <w:highlight w:val="yellow"/>
        </w:rPr>
        <w:t xml:space="preserve"> </w:t>
      </w:r>
      <w:r w:rsidRPr="00EB3844">
        <w:rPr>
          <w:rFonts w:asciiTheme="majorBidi" w:hAnsiTheme="majorBidi" w:cstheme="majorBidi"/>
          <w:b/>
          <w:bCs/>
          <w:color w:val="FF0000"/>
          <w:highlight w:val="yellow"/>
        </w:rPr>
        <w:t>The Acts of the legislature of any State, Territory, or Possession of the United States, or copies thereof, shall be authenticated by affixing the seal of such State, Territory or Possession thereto</w:t>
      </w:r>
      <w:r w:rsidRPr="00EB3844">
        <w:rPr>
          <w:rFonts w:asciiTheme="majorBidi" w:hAnsiTheme="majorBidi" w:cstheme="majorBidi"/>
          <w:b/>
          <w:bCs/>
          <w:color w:val="FF0000"/>
        </w:rPr>
        <w:t>.</w:t>
      </w:r>
    </w:p>
    <w:p w:rsidR="009A4AAD" w:rsidRPr="001F4689" w:rsidRDefault="009A4AAD" w:rsidP="009A4AAD">
      <w:pPr>
        <w:pStyle w:val="NormalWeb"/>
        <w:shd w:val="clear" w:color="auto" w:fill="FFFFFF"/>
        <w:spacing w:before="0" w:beforeAutospacing="0" w:after="150" w:afterAutospacing="0"/>
        <w:ind w:firstLine="240"/>
        <w:rPr>
          <w:rFonts w:asciiTheme="majorBidi" w:hAnsiTheme="majorBidi" w:cstheme="majorBidi"/>
          <w:color w:val="FF0000"/>
        </w:rPr>
      </w:pPr>
      <w:r w:rsidRPr="001F4689">
        <w:rPr>
          <w:rFonts w:asciiTheme="majorBidi" w:hAnsiTheme="majorBidi" w:cstheme="majorBidi"/>
          <w:color w:val="FF0000"/>
        </w:rPr>
        <w:t>The records and judicial proceedings of any court of any such State, Territory or Possession, or copies thereof, shall be proved or admitted in other courts within the United States and its Territories and Possessions by the attestation of the clerk and seal of the court annexed, if a seal exists, together with a certificate of a judge of the court that the said attestation is in proper form.</w:t>
      </w:r>
    </w:p>
    <w:p w:rsidR="009A4AAD" w:rsidRPr="00EB3844" w:rsidRDefault="009A4AAD" w:rsidP="009A4AAD">
      <w:pPr>
        <w:pStyle w:val="NormalWeb"/>
        <w:shd w:val="clear" w:color="auto" w:fill="FFFFFF"/>
        <w:spacing w:before="0" w:beforeAutospacing="0" w:after="150" w:afterAutospacing="0"/>
        <w:ind w:firstLine="240"/>
        <w:rPr>
          <w:rFonts w:asciiTheme="majorBidi" w:hAnsiTheme="majorBidi" w:cstheme="majorBidi"/>
          <w:b/>
          <w:bCs/>
          <w:color w:val="FF0000"/>
        </w:rPr>
      </w:pPr>
      <w:r w:rsidRPr="00EB3844">
        <w:rPr>
          <w:rFonts w:asciiTheme="majorBidi" w:hAnsiTheme="majorBidi" w:cstheme="majorBidi"/>
          <w:b/>
          <w:bCs/>
          <w:color w:val="FF0000"/>
          <w:highlight w:val="yellow"/>
        </w:rPr>
        <w:t>Such Acts, records and judicial proceedings or copies thereof, so authenticated, shall have the same full faith and credit in every court within the United States and its Territories</w:t>
      </w:r>
      <w:r w:rsidRPr="00EB3844">
        <w:rPr>
          <w:rFonts w:asciiTheme="majorBidi" w:hAnsiTheme="majorBidi" w:cstheme="majorBidi"/>
          <w:b/>
          <w:bCs/>
          <w:color w:val="FF0000"/>
        </w:rPr>
        <w:t xml:space="preserve"> </w:t>
      </w:r>
      <w:r w:rsidRPr="00EB3844">
        <w:rPr>
          <w:rFonts w:asciiTheme="majorBidi" w:hAnsiTheme="majorBidi" w:cstheme="majorBidi"/>
          <w:b/>
          <w:bCs/>
          <w:color w:val="FF0000"/>
          <w:highlight w:val="yellow"/>
        </w:rPr>
        <w:t>and Possessions as they have by law or usage in the courts of such State, Territory or Possession from which they are taken</w:t>
      </w:r>
      <w:r w:rsidRPr="00EB3844">
        <w:rPr>
          <w:rFonts w:asciiTheme="majorBidi" w:hAnsiTheme="majorBidi" w:cstheme="majorBidi"/>
          <w:b/>
          <w:bCs/>
          <w:color w:val="FF0000"/>
        </w:rPr>
        <w:t>.</w:t>
      </w:r>
    </w:p>
    <w:p w:rsidR="009A4AAD" w:rsidRPr="0015647C" w:rsidRDefault="009A4AAD" w:rsidP="009A4AAD">
      <w:pPr>
        <w:pStyle w:val="NormalWeb"/>
        <w:shd w:val="clear" w:color="auto" w:fill="FFFFFF"/>
        <w:spacing w:before="0" w:beforeAutospacing="0" w:after="150" w:afterAutospacing="0"/>
        <w:rPr>
          <w:rFonts w:asciiTheme="majorBidi" w:hAnsiTheme="majorBidi" w:cstheme="majorBidi"/>
          <w:color w:val="FF0000"/>
        </w:rPr>
      </w:pPr>
      <w:r w:rsidRPr="009A4AAD">
        <w:rPr>
          <w:rFonts w:asciiTheme="majorBidi" w:hAnsiTheme="majorBidi" w:cstheme="majorBidi"/>
          <w:b/>
          <w:bCs/>
          <w:color w:val="FF0000"/>
          <w:sz w:val="28"/>
          <w:szCs w:val="28"/>
        </w:rPr>
        <w:lastRenderedPageBreak/>
        <w:t>28 U.S. Code § 1738</w:t>
      </w:r>
      <w:r w:rsidRPr="009F5D7E">
        <w:rPr>
          <w:rFonts w:asciiTheme="majorBidi" w:hAnsiTheme="majorBidi" w:cstheme="majorBidi"/>
          <w:b/>
          <w:bCs/>
          <w:color w:val="333333"/>
          <w:sz w:val="28"/>
          <w:szCs w:val="28"/>
        </w:rPr>
        <w:t xml:space="preserve"> </w:t>
      </w:r>
      <w:r w:rsidRPr="00E56A01">
        <w:rPr>
          <w:rStyle w:val="hvr"/>
          <w:color w:val="FF0000"/>
        </w:rPr>
        <w:t xml:space="preserve">further </w:t>
      </w:r>
      <w:r w:rsidRPr="006245F2">
        <w:rPr>
          <w:rStyle w:val="hvr"/>
          <w:color w:val="FF0000"/>
        </w:rPr>
        <w:t>specifies that</w:t>
      </w:r>
      <w:r w:rsidRPr="006245F2">
        <w:rPr>
          <w:color w:val="FF0000"/>
        </w:rPr>
        <w:t xml:space="preserve"> "a </w:t>
      </w:r>
      <w:r w:rsidRPr="006245F2">
        <w:rPr>
          <w:rStyle w:val="hvr"/>
          <w:color w:val="FF0000"/>
        </w:rPr>
        <w:t>state's preclusion rules should control matters originally litigated</w:t>
      </w:r>
      <w:r w:rsidRPr="006245F2">
        <w:rPr>
          <w:color w:val="FF0000"/>
        </w:rPr>
        <w:t xml:space="preserve"> in </w:t>
      </w:r>
      <w:r w:rsidRPr="006245F2">
        <w:rPr>
          <w:rStyle w:val="hvr"/>
          <w:color w:val="FF0000"/>
        </w:rPr>
        <w:t>that state."The Full Faith and Credit Clause ensures that judicial decisions rendered</w:t>
      </w:r>
      <w:r w:rsidRPr="006245F2">
        <w:rPr>
          <w:color w:val="FF0000"/>
        </w:rPr>
        <w:t xml:space="preserve"> by </w:t>
      </w:r>
      <w:r w:rsidRPr="006245F2">
        <w:rPr>
          <w:rStyle w:val="hvr"/>
          <w:color w:val="FF0000"/>
        </w:rPr>
        <w:t>the courts</w:t>
      </w:r>
      <w:r w:rsidRPr="006245F2">
        <w:rPr>
          <w:color w:val="FF0000"/>
        </w:rPr>
        <w:t xml:space="preserve"> in </w:t>
      </w:r>
      <w:r w:rsidRPr="006245F2">
        <w:rPr>
          <w:rStyle w:val="hvr"/>
          <w:color w:val="FF0000"/>
        </w:rPr>
        <w:t>one state are recognized and honored</w:t>
      </w:r>
      <w:r w:rsidRPr="006245F2">
        <w:rPr>
          <w:color w:val="FF0000"/>
        </w:rPr>
        <w:t xml:space="preserve"> in </w:t>
      </w:r>
      <w:r w:rsidRPr="006245F2">
        <w:rPr>
          <w:rStyle w:val="hvr"/>
          <w:color w:val="FF0000"/>
        </w:rPr>
        <w:t>every other state.</w:t>
      </w:r>
      <w:r w:rsidRPr="006245F2">
        <w:rPr>
          <w:color w:val="FF0000"/>
        </w:rPr>
        <w:t xml:space="preserve"> It </w:t>
      </w:r>
      <w:r w:rsidRPr="006245F2">
        <w:rPr>
          <w:rStyle w:val="hvr"/>
          <w:color w:val="FF0000"/>
        </w:rPr>
        <w:t>also prevents parties from moving</w:t>
      </w:r>
      <w:r w:rsidRPr="006245F2">
        <w:rPr>
          <w:color w:val="FF0000"/>
        </w:rPr>
        <w:t xml:space="preserve"> to </w:t>
      </w:r>
      <w:r w:rsidRPr="006245F2">
        <w:rPr>
          <w:rStyle w:val="hvr"/>
          <w:color w:val="FF0000"/>
        </w:rPr>
        <w:t>another state</w:t>
      </w:r>
      <w:r w:rsidRPr="006245F2">
        <w:rPr>
          <w:color w:val="FF0000"/>
        </w:rPr>
        <w:t xml:space="preserve"> to </w:t>
      </w:r>
      <w:r w:rsidRPr="006245F2">
        <w:rPr>
          <w:rStyle w:val="hvr"/>
          <w:color w:val="FF0000"/>
        </w:rPr>
        <w:t>escape enforcement</w:t>
      </w:r>
      <w:r w:rsidRPr="006245F2">
        <w:rPr>
          <w:color w:val="FF0000"/>
        </w:rPr>
        <w:t xml:space="preserve"> of a </w:t>
      </w:r>
      <w:r w:rsidRPr="006245F2">
        <w:rPr>
          <w:rStyle w:val="hvr"/>
          <w:color w:val="FF0000"/>
        </w:rPr>
        <w:t>judgment</w:t>
      </w:r>
      <w:r w:rsidRPr="006245F2">
        <w:rPr>
          <w:color w:val="FF0000"/>
        </w:rPr>
        <w:t xml:space="preserve"> or to </w:t>
      </w:r>
      <w:r w:rsidRPr="006245F2">
        <w:rPr>
          <w:rStyle w:val="hvr"/>
          <w:color w:val="FF0000"/>
        </w:rPr>
        <w:t>relitigate</w:t>
      </w:r>
      <w:r w:rsidRPr="006245F2">
        <w:rPr>
          <w:color w:val="FF0000"/>
        </w:rPr>
        <w:t xml:space="preserve"> a </w:t>
      </w:r>
      <w:r w:rsidRPr="006245F2">
        <w:rPr>
          <w:rStyle w:val="hvr"/>
          <w:color w:val="FF0000"/>
        </w:rPr>
        <w:t>controversy already decided elsewhere,</w:t>
      </w:r>
      <w:r w:rsidRPr="006245F2">
        <w:rPr>
          <w:color w:val="FF0000"/>
        </w:rPr>
        <w:t xml:space="preserve"> a </w:t>
      </w:r>
      <w:r w:rsidRPr="006245F2">
        <w:rPr>
          <w:rStyle w:val="hvr"/>
          <w:color w:val="FF0000"/>
        </w:rPr>
        <w:t>practice known</w:t>
      </w:r>
      <w:r w:rsidRPr="006245F2">
        <w:rPr>
          <w:color w:val="FF0000"/>
        </w:rPr>
        <w:t xml:space="preserve"> as </w:t>
      </w:r>
      <w:r w:rsidRPr="006245F2">
        <w:rPr>
          <w:rStyle w:val="hvr"/>
          <w:color w:val="FF0000"/>
        </w:rPr>
        <w:t>forum shopping.</w:t>
      </w:r>
    </w:p>
    <w:p w:rsidR="009A4AAD" w:rsidRPr="009A4AAD" w:rsidRDefault="009A4AAD" w:rsidP="009A4AAD">
      <w:pPr>
        <w:pStyle w:val="NormalWeb"/>
        <w:rPr>
          <w:b/>
          <w:bCs/>
          <w:color w:val="FF0000"/>
        </w:rPr>
      </w:pPr>
      <w:r w:rsidRPr="006245F2">
        <w:rPr>
          <w:color w:val="FF0000"/>
        </w:rPr>
        <w:t xml:space="preserve">In </w:t>
      </w:r>
      <w:r w:rsidRPr="006245F2">
        <w:rPr>
          <w:rStyle w:val="hvr"/>
          <w:color w:val="FF0000"/>
        </w:rPr>
        <w:t>drafting the Full Faith and Credit Clause, the Framers</w:t>
      </w:r>
      <w:r w:rsidRPr="006245F2">
        <w:rPr>
          <w:color w:val="FF0000"/>
        </w:rPr>
        <w:t xml:space="preserve"> of </w:t>
      </w:r>
      <w:r w:rsidRPr="006245F2">
        <w:rPr>
          <w:rStyle w:val="hvr"/>
          <w:color w:val="FF0000"/>
        </w:rPr>
        <w:t>the Constitution were motivated</w:t>
      </w:r>
      <w:r w:rsidRPr="006245F2">
        <w:rPr>
          <w:color w:val="FF0000"/>
        </w:rPr>
        <w:t xml:space="preserve"> by a </w:t>
      </w:r>
      <w:r w:rsidRPr="006245F2">
        <w:rPr>
          <w:rStyle w:val="hvr"/>
          <w:color w:val="FF0000"/>
        </w:rPr>
        <w:t>desire</w:t>
      </w:r>
      <w:r w:rsidRPr="006245F2">
        <w:rPr>
          <w:color w:val="FF0000"/>
        </w:rPr>
        <w:t xml:space="preserve"> to </w:t>
      </w:r>
      <w:r w:rsidRPr="006245F2">
        <w:rPr>
          <w:rStyle w:val="hvr"/>
          <w:color w:val="FF0000"/>
        </w:rPr>
        <w:t>unify their new country while preserving the autonomy</w:t>
      </w:r>
      <w:r w:rsidRPr="006245F2">
        <w:rPr>
          <w:color w:val="FF0000"/>
        </w:rPr>
        <w:t xml:space="preserve"> of </w:t>
      </w:r>
      <w:r w:rsidRPr="006245F2">
        <w:rPr>
          <w:rStyle w:val="hvr"/>
          <w:color w:val="FF0000"/>
        </w:rPr>
        <w:t>the states.</w:t>
      </w:r>
      <w:r w:rsidRPr="006245F2">
        <w:rPr>
          <w:color w:val="FF0000"/>
        </w:rPr>
        <w:t xml:space="preserve"> To </w:t>
      </w:r>
      <w:r w:rsidRPr="006245F2">
        <w:rPr>
          <w:rStyle w:val="hvr"/>
          <w:color w:val="FF0000"/>
        </w:rPr>
        <w:t xml:space="preserve">that end, </w:t>
      </w:r>
      <w:r w:rsidRPr="009A4AAD">
        <w:rPr>
          <w:rStyle w:val="hvr"/>
          <w:b/>
          <w:bCs/>
          <w:color w:val="FF0000"/>
          <w:highlight w:val="yellow"/>
        </w:rPr>
        <w:t>they sought</w:t>
      </w:r>
      <w:r w:rsidRPr="009A4AAD">
        <w:rPr>
          <w:b/>
          <w:bCs/>
          <w:color w:val="FF0000"/>
          <w:highlight w:val="yellow"/>
        </w:rPr>
        <w:t xml:space="preserve"> to </w:t>
      </w:r>
      <w:r w:rsidRPr="009A4AAD">
        <w:rPr>
          <w:rStyle w:val="hvr"/>
          <w:b/>
          <w:bCs/>
          <w:color w:val="FF0000"/>
          <w:highlight w:val="yellow"/>
        </w:rPr>
        <w:t>guarantee that judgments rendered</w:t>
      </w:r>
      <w:r w:rsidRPr="009A4AAD">
        <w:rPr>
          <w:b/>
          <w:bCs/>
          <w:color w:val="FF0000"/>
          <w:highlight w:val="yellow"/>
        </w:rPr>
        <w:t xml:space="preserve"> by </w:t>
      </w:r>
      <w:r w:rsidRPr="009A4AAD">
        <w:rPr>
          <w:rStyle w:val="hvr"/>
          <w:b/>
          <w:bCs/>
          <w:color w:val="FF0000"/>
          <w:highlight w:val="yellow"/>
        </w:rPr>
        <w:t>the courts</w:t>
      </w:r>
      <w:r w:rsidRPr="009A4AAD">
        <w:rPr>
          <w:b/>
          <w:bCs/>
          <w:color w:val="FF0000"/>
          <w:highlight w:val="yellow"/>
        </w:rPr>
        <w:t xml:space="preserve"> of </w:t>
      </w:r>
      <w:r w:rsidRPr="009A4AAD">
        <w:rPr>
          <w:rStyle w:val="hvr"/>
          <w:b/>
          <w:bCs/>
          <w:color w:val="FF0000"/>
          <w:highlight w:val="yellow"/>
        </w:rPr>
        <w:t>one state would not</w:t>
      </w:r>
      <w:r w:rsidRPr="009A4AAD">
        <w:rPr>
          <w:b/>
          <w:bCs/>
          <w:color w:val="FF0000"/>
          <w:highlight w:val="yellow"/>
        </w:rPr>
        <w:t xml:space="preserve"> be </w:t>
      </w:r>
      <w:r w:rsidRPr="009A4AAD">
        <w:rPr>
          <w:rStyle w:val="hvr"/>
          <w:b/>
          <w:bCs/>
          <w:color w:val="FF0000"/>
          <w:highlight w:val="yellow"/>
        </w:rPr>
        <w:t>ignored</w:t>
      </w:r>
      <w:r w:rsidRPr="009A4AAD">
        <w:rPr>
          <w:b/>
          <w:bCs/>
          <w:color w:val="FF0000"/>
          <w:highlight w:val="yellow"/>
        </w:rPr>
        <w:t xml:space="preserve"> by </w:t>
      </w:r>
      <w:r w:rsidRPr="009A4AAD">
        <w:rPr>
          <w:rStyle w:val="hvr"/>
          <w:b/>
          <w:bCs/>
          <w:color w:val="FF0000"/>
          <w:highlight w:val="yellow"/>
        </w:rPr>
        <w:t>the courts</w:t>
      </w:r>
      <w:r w:rsidRPr="009A4AAD">
        <w:rPr>
          <w:b/>
          <w:bCs/>
          <w:color w:val="FF0000"/>
          <w:highlight w:val="yellow"/>
        </w:rPr>
        <w:t xml:space="preserve"> of </w:t>
      </w:r>
      <w:r w:rsidRPr="009A4AAD">
        <w:rPr>
          <w:rStyle w:val="hvr"/>
          <w:b/>
          <w:bCs/>
          <w:color w:val="FF0000"/>
          <w:highlight w:val="yellow"/>
        </w:rPr>
        <w:t>other states.</w:t>
      </w:r>
      <w:r w:rsidRPr="006245F2">
        <w:rPr>
          <w:rStyle w:val="hvr"/>
          <w:color w:val="FF0000"/>
        </w:rPr>
        <w:t xml:space="preserve"> The Supreme Court reiterated the Framers ‘intent when</w:t>
      </w:r>
      <w:r w:rsidRPr="006245F2">
        <w:rPr>
          <w:color w:val="FF0000"/>
        </w:rPr>
        <w:t xml:space="preserve"> it </w:t>
      </w:r>
      <w:r w:rsidRPr="006245F2">
        <w:rPr>
          <w:rStyle w:val="hvr"/>
          <w:color w:val="FF0000"/>
        </w:rPr>
        <w:t>held  that the Full Faith and Credit Clause precluded any further litigation</w:t>
      </w:r>
      <w:r w:rsidRPr="006245F2">
        <w:rPr>
          <w:color w:val="FF0000"/>
        </w:rPr>
        <w:t xml:space="preserve"> of a </w:t>
      </w:r>
      <w:r w:rsidRPr="006245F2">
        <w:rPr>
          <w:rStyle w:val="hvr"/>
          <w:color w:val="FF0000"/>
        </w:rPr>
        <w:t>question previously decided</w:t>
      </w:r>
      <w:r w:rsidRPr="006245F2">
        <w:rPr>
          <w:color w:val="FF0000"/>
        </w:rPr>
        <w:t xml:space="preserve"> by an </w:t>
      </w:r>
      <w:r w:rsidRPr="006245F2">
        <w:rPr>
          <w:rStyle w:val="hvr"/>
          <w:color w:val="FF0000"/>
        </w:rPr>
        <w:t>Illinois court</w:t>
      </w:r>
      <w:r w:rsidRPr="006245F2">
        <w:rPr>
          <w:color w:val="FF0000"/>
        </w:rPr>
        <w:t xml:space="preserve"> in </w:t>
      </w:r>
      <w:r w:rsidRPr="006245F2">
        <w:rPr>
          <w:rStyle w:val="hvr"/>
          <w:b/>
          <w:bCs/>
          <w:i/>
          <w:iCs/>
          <w:color w:val="FF0000"/>
        </w:rPr>
        <w:t>Milwaukee County</w:t>
      </w:r>
      <w:r w:rsidRPr="006245F2">
        <w:rPr>
          <w:b/>
          <w:bCs/>
          <w:i/>
          <w:iCs/>
          <w:color w:val="FF0000"/>
        </w:rPr>
        <w:t xml:space="preserve"> v. M. E. </w:t>
      </w:r>
      <w:r w:rsidRPr="006245F2">
        <w:rPr>
          <w:rStyle w:val="hvr"/>
          <w:b/>
          <w:bCs/>
          <w:i/>
          <w:iCs/>
          <w:color w:val="FF0000"/>
        </w:rPr>
        <w:t>White Co.</w:t>
      </w:r>
      <w:r w:rsidRPr="006245F2">
        <w:rPr>
          <w:b/>
          <w:bCs/>
          <w:color w:val="FF0000"/>
        </w:rPr>
        <w:t xml:space="preserve">, </w:t>
      </w:r>
      <w:r w:rsidRPr="006245F2">
        <w:rPr>
          <w:rStyle w:val="hvr"/>
          <w:b/>
          <w:bCs/>
          <w:color w:val="FF0000"/>
        </w:rPr>
        <w:t>296U.S.268,</w:t>
      </w:r>
      <w:r w:rsidRPr="006245F2">
        <w:rPr>
          <w:b/>
          <w:bCs/>
          <w:color w:val="FF0000"/>
        </w:rPr>
        <w:t xml:space="preserve"> 56 S. </w:t>
      </w:r>
      <w:r w:rsidRPr="006245F2">
        <w:rPr>
          <w:rStyle w:val="hvr"/>
          <w:b/>
          <w:bCs/>
          <w:color w:val="FF0000"/>
        </w:rPr>
        <w:t>Ct.229,</w:t>
      </w:r>
      <w:r w:rsidRPr="006245F2">
        <w:rPr>
          <w:b/>
          <w:bCs/>
          <w:color w:val="FF0000"/>
        </w:rPr>
        <w:t xml:space="preserve"> 80 L. </w:t>
      </w:r>
      <w:r w:rsidRPr="006245F2">
        <w:rPr>
          <w:rStyle w:val="hvr"/>
          <w:b/>
          <w:bCs/>
          <w:color w:val="FF0000"/>
        </w:rPr>
        <w:t>Ed.220 (1935).</w:t>
      </w:r>
      <w:r w:rsidRPr="009A4AAD">
        <w:rPr>
          <w:rStyle w:val="hvr"/>
          <w:b/>
          <w:bCs/>
          <w:color w:val="FF0000"/>
          <w:highlight w:val="yellow"/>
        </w:rPr>
        <w:t>The Court held that</w:t>
      </w:r>
      <w:r w:rsidRPr="009A4AAD">
        <w:rPr>
          <w:b/>
          <w:bCs/>
          <w:color w:val="FF0000"/>
          <w:highlight w:val="yellow"/>
        </w:rPr>
        <w:t xml:space="preserve"> by </w:t>
      </w:r>
      <w:r w:rsidRPr="009A4AAD">
        <w:rPr>
          <w:rStyle w:val="hvr"/>
          <w:b/>
          <w:bCs/>
          <w:color w:val="FF0000"/>
          <w:highlight w:val="yellow"/>
        </w:rPr>
        <w:t>including the clause</w:t>
      </w:r>
      <w:r w:rsidRPr="009A4AAD">
        <w:rPr>
          <w:b/>
          <w:bCs/>
          <w:color w:val="FF0000"/>
          <w:highlight w:val="yellow"/>
        </w:rPr>
        <w:t xml:space="preserve"> in </w:t>
      </w:r>
      <w:r w:rsidRPr="009A4AAD">
        <w:rPr>
          <w:rStyle w:val="hvr"/>
          <w:b/>
          <w:bCs/>
          <w:color w:val="FF0000"/>
          <w:highlight w:val="yellow"/>
        </w:rPr>
        <w:t>the Constitution, the Framers intended</w:t>
      </w:r>
      <w:r w:rsidRPr="009A4AAD">
        <w:rPr>
          <w:b/>
          <w:bCs/>
          <w:color w:val="FF0000"/>
          <w:highlight w:val="yellow"/>
        </w:rPr>
        <w:t xml:space="preserve"> to </w:t>
      </w:r>
      <w:r w:rsidRPr="009A4AAD">
        <w:rPr>
          <w:rStyle w:val="hvr"/>
          <w:b/>
          <w:bCs/>
          <w:color w:val="FF0000"/>
          <w:highlight w:val="yellow"/>
        </w:rPr>
        <w:t>make the states “integral parts</w:t>
      </w:r>
      <w:r w:rsidRPr="009A4AAD">
        <w:rPr>
          <w:b/>
          <w:bCs/>
          <w:color w:val="FF0000"/>
          <w:highlight w:val="yellow"/>
        </w:rPr>
        <w:t xml:space="preserve"> of a </w:t>
      </w:r>
      <w:r w:rsidRPr="009A4AAD">
        <w:rPr>
          <w:rStyle w:val="hvr"/>
          <w:b/>
          <w:bCs/>
          <w:color w:val="FF0000"/>
          <w:highlight w:val="yellow"/>
        </w:rPr>
        <w:t>single nation throughout which</w:t>
      </w:r>
      <w:r w:rsidRPr="009A4AAD">
        <w:rPr>
          <w:b/>
          <w:bCs/>
          <w:color w:val="FF0000"/>
          <w:highlight w:val="yellow"/>
        </w:rPr>
        <w:t xml:space="preserve"> a </w:t>
      </w:r>
      <w:r w:rsidRPr="009A4AAD">
        <w:rPr>
          <w:rStyle w:val="hvr"/>
          <w:b/>
          <w:bCs/>
          <w:color w:val="FF0000"/>
          <w:highlight w:val="yellow"/>
        </w:rPr>
        <w:t>remedy upon</w:t>
      </w:r>
      <w:r w:rsidRPr="009A4AAD">
        <w:rPr>
          <w:b/>
          <w:bCs/>
          <w:color w:val="FF0000"/>
          <w:highlight w:val="yellow"/>
        </w:rPr>
        <w:t xml:space="preserve"> a </w:t>
      </w:r>
      <w:r w:rsidRPr="009A4AAD">
        <w:rPr>
          <w:rStyle w:val="hvr"/>
          <w:b/>
          <w:bCs/>
          <w:color w:val="FF0000"/>
          <w:highlight w:val="yellow"/>
        </w:rPr>
        <w:t>just obligation might</w:t>
      </w:r>
      <w:r w:rsidRPr="009A4AAD">
        <w:rPr>
          <w:b/>
          <w:bCs/>
          <w:color w:val="FF0000"/>
          <w:highlight w:val="yellow"/>
        </w:rPr>
        <w:t xml:space="preserve"> be </w:t>
      </w:r>
      <w:r w:rsidRPr="009A4AAD">
        <w:rPr>
          <w:rStyle w:val="hvr"/>
          <w:b/>
          <w:bCs/>
          <w:color w:val="FF0000"/>
          <w:highlight w:val="yellow"/>
        </w:rPr>
        <w:t>demanded</w:t>
      </w:r>
      <w:r w:rsidRPr="009A4AAD">
        <w:rPr>
          <w:b/>
          <w:bCs/>
          <w:color w:val="FF0000"/>
          <w:highlight w:val="yellow"/>
        </w:rPr>
        <w:t xml:space="preserve"> as of </w:t>
      </w:r>
      <w:r w:rsidRPr="009A4AAD">
        <w:rPr>
          <w:rStyle w:val="hvr"/>
          <w:b/>
          <w:bCs/>
          <w:color w:val="FF0000"/>
          <w:highlight w:val="yellow"/>
        </w:rPr>
        <w:t>right, irrespective</w:t>
      </w:r>
      <w:r w:rsidRPr="009A4AAD">
        <w:rPr>
          <w:b/>
          <w:bCs/>
          <w:color w:val="FF0000"/>
          <w:highlight w:val="yellow"/>
        </w:rPr>
        <w:t xml:space="preserve"> of </w:t>
      </w:r>
      <w:r w:rsidRPr="009A4AAD">
        <w:rPr>
          <w:rStyle w:val="hvr"/>
          <w:b/>
          <w:bCs/>
          <w:color w:val="FF0000"/>
          <w:highlight w:val="yellow"/>
        </w:rPr>
        <w:t>the state</w:t>
      </w:r>
      <w:r w:rsidRPr="009A4AAD">
        <w:rPr>
          <w:b/>
          <w:bCs/>
          <w:color w:val="FF0000"/>
          <w:highlight w:val="yellow"/>
        </w:rPr>
        <w:t xml:space="preserve"> of </w:t>
      </w:r>
      <w:r w:rsidRPr="009A4AAD">
        <w:rPr>
          <w:rStyle w:val="hvr"/>
          <w:b/>
          <w:bCs/>
          <w:color w:val="FF0000"/>
          <w:highlight w:val="yellow"/>
        </w:rPr>
        <w:t>its origin."</w:t>
      </w:r>
    </w:p>
    <w:p w:rsidR="009A4AAD" w:rsidRPr="005B0194" w:rsidRDefault="009A4AAD" w:rsidP="009A4AAD">
      <w:pPr>
        <w:pStyle w:val="NormalWeb"/>
        <w:rPr>
          <w:color w:val="FF0000"/>
        </w:rPr>
      </w:pPr>
      <w:r w:rsidRPr="006245F2">
        <w:rPr>
          <w:rStyle w:val="hvr"/>
          <w:color w:val="FF0000"/>
        </w:rPr>
        <w:t>The Full Faith and Credit Clause</w:t>
      </w:r>
      <w:r w:rsidRPr="006245F2">
        <w:rPr>
          <w:color w:val="FF0000"/>
        </w:rPr>
        <w:t xml:space="preserve"> is </w:t>
      </w:r>
      <w:r w:rsidRPr="006245F2">
        <w:rPr>
          <w:rStyle w:val="hvr"/>
          <w:color w:val="FF0000"/>
        </w:rPr>
        <w:t>invoked primarily</w:t>
      </w:r>
      <w:r w:rsidRPr="006245F2">
        <w:rPr>
          <w:color w:val="FF0000"/>
        </w:rPr>
        <w:t xml:space="preserve"> to </w:t>
      </w:r>
      <w:r w:rsidRPr="006245F2">
        <w:rPr>
          <w:rStyle w:val="hvr"/>
          <w:color w:val="FF0000"/>
        </w:rPr>
        <w:t>enforce judgments. when</w:t>
      </w:r>
      <w:r w:rsidRPr="006245F2">
        <w:rPr>
          <w:color w:val="FF0000"/>
        </w:rPr>
        <w:t xml:space="preserve"> a </w:t>
      </w:r>
      <w:r w:rsidRPr="006245F2">
        <w:rPr>
          <w:rStyle w:val="hvr"/>
          <w:color w:val="FF0000"/>
        </w:rPr>
        <w:t>valid judgment</w:t>
      </w:r>
      <w:r w:rsidRPr="006245F2">
        <w:rPr>
          <w:color w:val="FF0000"/>
        </w:rPr>
        <w:t xml:space="preserve"> is </w:t>
      </w:r>
      <w:r w:rsidRPr="006245F2">
        <w:rPr>
          <w:rStyle w:val="hvr"/>
          <w:color w:val="FF0000"/>
        </w:rPr>
        <w:t>rendered</w:t>
      </w:r>
      <w:r w:rsidRPr="006245F2">
        <w:rPr>
          <w:color w:val="FF0000"/>
        </w:rPr>
        <w:t xml:space="preserve"> by a </w:t>
      </w:r>
      <w:r w:rsidRPr="006245F2">
        <w:rPr>
          <w:rStyle w:val="hvr"/>
          <w:color w:val="FF0000"/>
        </w:rPr>
        <w:t>court that has jurisdiction over the parties, and the parties receive proper notice</w:t>
      </w:r>
      <w:r w:rsidRPr="006245F2">
        <w:rPr>
          <w:color w:val="FF0000"/>
        </w:rPr>
        <w:t xml:space="preserve"> of </w:t>
      </w:r>
      <w:r w:rsidRPr="006245F2">
        <w:rPr>
          <w:rStyle w:val="hvr"/>
          <w:color w:val="FF0000"/>
        </w:rPr>
        <w:t>the action and</w:t>
      </w:r>
      <w:r w:rsidRPr="006245F2">
        <w:rPr>
          <w:color w:val="FF0000"/>
        </w:rPr>
        <w:t xml:space="preserve"> a </w:t>
      </w:r>
      <w:r w:rsidRPr="006245F2">
        <w:rPr>
          <w:rStyle w:val="hvr"/>
          <w:color w:val="FF0000"/>
        </w:rPr>
        <w:t>reasonable opportunity</w:t>
      </w:r>
      <w:r w:rsidRPr="006245F2">
        <w:rPr>
          <w:color w:val="FF0000"/>
        </w:rPr>
        <w:t xml:space="preserve"> to be </w:t>
      </w:r>
      <w:r w:rsidRPr="006245F2">
        <w:rPr>
          <w:rStyle w:val="hvr"/>
          <w:color w:val="FF0000"/>
        </w:rPr>
        <w:t>heard, the Full Faith and Credit Clause requires that the judgment receive the same effect</w:t>
      </w:r>
      <w:r w:rsidRPr="006245F2">
        <w:rPr>
          <w:color w:val="FF0000"/>
        </w:rPr>
        <w:t xml:space="preserve"> in </w:t>
      </w:r>
      <w:r w:rsidRPr="006245F2">
        <w:rPr>
          <w:rStyle w:val="hvr"/>
          <w:color w:val="FF0000"/>
        </w:rPr>
        <w:t>other states</w:t>
      </w:r>
      <w:r w:rsidRPr="006245F2">
        <w:rPr>
          <w:color w:val="FF0000"/>
        </w:rPr>
        <w:t xml:space="preserve"> as in </w:t>
      </w:r>
      <w:r w:rsidRPr="006245F2">
        <w:rPr>
          <w:rStyle w:val="hvr"/>
          <w:color w:val="FF0000"/>
        </w:rPr>
        <w:t>the state where</w:t>
      </w:r>
      <w:r w:rsidRPr="006245F2">
        <w:rPr>
          <w:color w:val="FF0000"/>
        </w:rPr>
        <w:t xml:space="preserve"> it is </w:t>
      </w:r>
      <w:r w:rsidRPr="006245F2">
        <w:rPr>
          <w:rStyle w:val="hvr"/>
          <w:color w:val="FF0000"/>
        </w:rPr>
        <w:t>entered.</w:t>
      </w:r>
      <w:r w:rsidRPr="006245F2">
        <w:rPr>
          <w:color w:val="FF0000"/>
        </w:rPr>
        <w:t xml:space="preserve"> A </w:t>
      </w:r>
      <w:r w:rsidRPr="006245F2">
        <w:rPr>
          <w:rStyle w:val="hvr"/>
          <w:color w:val="FF0000"/>
        </w:rPr>
        <w:t>party who obtains</w:t>
      </w:r>
      <w:r w:rsidRPr="006245F2">
        <w:rPr>
          <w:color w:val="FF0000"/>
        </w:rPr>
        <w:t xml:space="preserve"> a </w:t>
      </w:r>
      <w:r w:rsidRPr="006245F2">
        <w:rPr>
          <w:rStyle w:val="hvr"/>
          <w:color w:val="FF0000"/>
        </w:rPr>
        <w:t>judgment</w:t>
      </w:r>
      <w:r w:rsidRPr="006245F2">
        <w:rPr>
          <w:color w:val="FF0000"/>
        </w:rPr>
        <w:t xml:space="preserve"> in </w:t>
      </w:r>
      <w:r w:rsidRPr="006245F2">
        <w:rPr>
          <w:rStyle w:val="hvr"/>
          <w:color w:val="FF0000"/>
        </w:rPr>
        <w:t>one state may petition the court</w:t>
      </w:r>
      <w:r w:rsidRPr="006245F2">
        <w:rPr>
          <w:color w:val="FF0000"/>
        </w:rPr>
        <w:t xml:space="preserve"> in </w:t>
      </w:r>
      <w:r w:rsidRPr="006245F2">
        <w:rPr>
          <w:rStyle w:val="hvr"/>
          <w:color w:val="FF0000"/>
        </w:rPr>
        <w:t>another state</w:t>
      </w:r>
      <w:r w:rsidRPr="006245F2">
        <w:rPr>
          <w:color w:val="FF0000"/>
        </w:rPr>
        <w:t xml:space="preserve"> to </w:t>
      </w:r>
      <w:r w:rsidRPr="006245F2">
        <w:rPr>
          <w:rStyle w:val="hvr"/>
          <w:color w:val="FF0000"/>
        </w:rPr>
        <w:t>enforce the judgment. When this</w:t>
      </w:r>
      <w:r w:rsidRPr="006245F2">
        <w:rPr>
          <w:color w:val="FF0000"/>
        </w:rPr>
        <w:t xml:space="preserve"> is </w:t>
      </w:r>
      <w:r w:rsidRPr="006245F2">
        <w:rPr>
          <w:rStyle w:val="hvr"/>
          <w:color w:val="FF0000"/>
        </w:rPr>
        <w:t>done, the parties</w:t>
      </w:r>
      <w:r w:rsidRPr="006245F2">
        <w:rPr>
          <w:color w:val="FF0000"/>
        </w:rPr>
        <w:t xml:space="preserve"> do </w:t>
      </w:r>
      <w:r w:rsidRPr="006245F2">
        <w:rPr>
          <w:rStyle w:val="hvr"/>
          <w:color w:val="FF0000"/>
        </w:rPr>
        <w:t>not relitigate the issues, and the court</w:t>
      </w:r>
      <w:r w:rsidRPr="006245F2">
        <w:rPr>
          <w:color w:val="FF0000"/>
        </w:rPr>
        <w:t xml:space="preserve"> in </w:t>
      </w:r>
      <w:r w:rsidRPr="006245F2">
        <w:rPr>
          <w:rStyle w:val="hvr"/>
          <w:color w:val="FF0000"/>
        </w:rPr>
        <w:t>the second state</w:t>
      </w:r>
      <w:r w:rsidRPr="006245F2">
        <w:rPr>
          <w:color w:val="FF0000"/>
        </w:rPr>
        <w:t xml:space="preserve"> is </w:t>
      </w:r>
      <w:r w:rsidRPr="006245F2">
        <w:rPr>
          <w:rStyle w:val="hvr"/>
          <w:color w:val="FF0000"/>
        </w:rPr>
        <w:t>obliged</w:t>
      </w:r>
      <w:r w:rsidRPr="006245F2">
        <w:rPr>
          <w:color w:val="FF0000"/>
        </w:rPr>
        <w:t xml:space="preserve"> to </w:t>
      </w:r>
      <w:r w:rsidRPr="006245F2">
        <w:rPr>
          <w:rStyle w:val="hvr"/>
          <w:color w:val="FF0000"/>
        </w:rPr>
        <w:t>fully recognize and honor the judgment</w:t>
      </w:r>
      <w:r w:rsidRPr="006245F2">
        <w:rPr>
          <w:color w:val="FF0000"/>
        </w:rPr>
        <w:t xml:space="preserve"> of </w:t>
      </w:r>
      <w:r w:rsidRPr="006245F2">
        <w:rPr>
          <w:rStyle w:val="hvr"/>
          <w:color w:val="FF0000"/>
        </w:rPr>
        <w:t>the first court</w:t>
      </w:r>
      <w:r w:rsidRPr="006245F2">
        <w:rPr>
          <w:color w:val="FF0000"/>
        </w:rPr>
        <w:t xml:space="preserve"> in </w:t>
      </w:r>
      <w:r w:rsidRPr="006245F2">
        <w:rPr>
          <w:rStyle w:val="hvr"/>
          <w:color w:val="FF0000"/>
        </w:rPr>
        <w:t>determining the enforceability</w:t>
      </w:r>
      <w:r w:rsidRPr="006245F2">
        <w:rPr>
          <w:color w:val="FF0000"/>
        </w:rPr>
        <w:t xml:space="preserve"> of </w:t>
      </w:r>
      <w:r w:rsidRPr="006245F2">
        <w:rPr>
          <w:rStyle w:val="hvr"/>
          <w:color w:val="FF0000"/>
        </w:rPr>
        <w:t>the judgment and the procedure for its execution.</w:t>
      </w:r>
    </w:p>
    <w:p w:rsidR="009A4AAD" w:rsidRPr="005B0194" w:rsidRDefault="009A4AAD" w:rsidP="009A4AAD">
      <w:pPr>
        <w:pStyle w:val="NormalWeb"/>
        <w:rPr>
          <w:color w:val="FF0000"/>
        </w:rPr>
      </w:pPr>
      <w:r w:rsidRPr="005B0194">
        <w:rPr>
          <w:rStyle w:val="hvr"/>
          <w:color w:val="FF0000"/>
        </w:rPr>
        <w:t>The Full Faith and Credit Clause has also been invoked</w:t>
      </w:r>
      <w:r w:rsidRPr="005B0194">
        <w:rPr>
          <w:color w:val="FF0000"/>
        </w:rPr>
        <w:t xml:space="preserve"> to </w:t>
      </w:r>
      <w:r w:rsidRPr="005B0194">
        <w:rPr>
          <w:rStyle w:val="hvr"/>
          <w:color w:val="FF0000"/>
        </w:rPr>
        <w:t>recognize the validity</w:t>
      </w:r>
      <w:r w:rsidRPr="005B0194">
        <w:rPr>
          <w:color w:val="FF0000"/>
        </w:rPr>
        <w:t xml:space="preserve"> of a </w:t>
      </w:r>
      <w:r w:rsidRPr="005B0194">
        <w:rPr>
          <w:rStyle w:val="hvr"/>
          <w:color w:val="FF0000"/>
        </w:rPr>
        <w:t>marriage. Traditionally, every state honored</w:t>
      </w:r>
      <w:r w:rsidRPr="005B0194">
        <w:rPr>
          <w:color w:val="FF0000"/>
        </w:rPr>
        <w:t xml:space="preserve"> a </w:t>
      </w:r>
      <w:r w:rsidRPr="005B0194">
        <w:rPr>
          <w:rStyle w:val="hvr"/>
          <w:color w:val="FF0000"/>
        </w:rPr>
        <w:t>marriage legally contracted</w:t>
      </w:r>
      <w:r w:rsidRPr="005B0194">
        <w:rPr>
          <w:color w:val="FF0000"/>
        </w:rPr>
        <w:t xml:space="preserve"> in </w:t>
      </w:r>
      <w:r w:rsidRPr="005B0194">
        <w:rPr>
          <w:rStyle w:val="hvr"/>
          <w:color w:val="FF0000"/>
        </w:rPr>
        <w:t>any other state. However,</w:t>
      </w:r>
      <w:r w:rsidRPr="005B0194">
        <w:rPr>
          <w:color w:val="FF0000"/>
        </w:rPr>
        <w:t xml:space="preserve"> in </w:t>
      </w:r>
      <w:r w:rsidRPr="005B0194">
        <w:rPr>
          <w:rStyle w:val="hvr"/>
          <w:color w:val="FF0000"/>
        </w:rPr>
        <w:t>1993,the Hawaii Supreme Court held that Hawaii's statute restricting legal marriage</w:t>
      </w:r>
      <w:r w:rsidRPr="005B0194">
        <w:rPr>
          <w:color w:val="FF0000"/>
        </w:rPr>
        <w:t xml:space="preserve"> to </w:t>
      </w:r>
      <w:r w:rsidRPr="005B0194">
        <w:rPr>
          <w:rStyle w:val="hvr"/>
          <w:color w:val="FF0000"/>
        </w:rPr>
        <w:t>parties</w:t>
      </w:r>
      <w:r w:rsidRPr="005B0194">
        <w:rPr>
          <w:color w:val="FF0000"/>
        </w:rPr>
        <w:t xml:space="preserve"> of </w:t>
      </w:r>
      <w:r w:rsidRPr="005B0194">
        <w:rPr>
          <w:rStyle w:val="hvr"/>
          <w:color w:val="FF0000"/>
        </w:rPr>
        <w:t>the opposite sex establishes</w:t>
      </w:r>
      <w:r w:rsidRPr="005B0194">
        <w:rPr>
          <w:color w:val="FF0000"/>
        </w:rPr>
        <w:t xml:space="preserve"> a </w:t>
      </w:r>
      <w:r w:rsidRPr="005B0194">
        <w:rPr>
          <w:rStyle w:val="hvr"/>
          <w:color w:val="FF0000"/>
        </w:rPr>
        <w:t>sex-based classification, which</w:t>
      </w:r>
      <w:r w:rsidRPr="005B0194">
        <w:rPr>
          <w:color w:val="FF0000"/>
        </w:rPr>
        <w:t xml:space="preserve"> is </w:t>
      </w:r>
      <w:r w:rsidRPr="005B0194">
        <w:rPr>
          <w:rStyle w:val="hvr"/>
          <w:color w:val="FF0000"/>
        </w:rPr>
        <w:t>subject</w:t>
      </w:r>
      <w:r w:rsidRPr="005B0194">
        <w:rPr>
          <w:color w:val="FF0000"/>
        </w:rPr>
        <w:t xml:space="preserve"> to </w:t>
      </w:r>
      <w:hyperlink r:id="rId8" w:history="1">
        <w:r w:rsidRPr="005B0194">
          <w:rPr>
            <w:rStyle w:val="Hyperlink"/>
            <w:rFonts w:eastAsiaTheme="majorEastAsia"/>
            <w:color w:val="FF0000"/>
          </w:rPr>
          <w:t>Strict Scrutiny</w:t>
        </w:r>
      </w:hyperlink>
      <w:r w:rsidRPr="005B0194">
        <w:rPr>
          <w:color w:val="FF0000"/>
        </w:rPr>
        <w:t xml:space="preserve"> if </w:t>
      </w:r>
      <w:r w:rsidRPr="005B0194">
        <w:rPr>
          <w:rStyle w:val="hvr"/>
          <w:color w:val="FF0000"/>
        </w:rPr>
        <w:t>challenged</w:t>
      </w:r>
      <w:r w:rsidRPr="005B0194">
        <w:rPr>
          <w:color w:val="FF0000"/>
        </w:rPr>
        <w:t xml:space="preserve"> on </w:t>
      </w:r>
      <w:hyperlink r:id="rId9" w:history="1">
        <w:r w:rsidRPr="005B0194">
          <w:rPr>
            <w:rStyle w:val="Hyperlink"/>
            <w:rFonts w:eastAsiaTheme="majorEastAsia"/>
            <w:color w:val="FF0000"/>
          </w:rPr>
          <w:t>Equal Protection</w:t>
        </w:r>
      </w:hyperlink>
      <w:r w:rsidRPr="005B0194">
        <w:rPr>
          <w:color w:val="FF0000"/>
        </w:rPr>
        <w:t xml:space="preserve"> </w:t>
      </w:r>
      <w:r w:rsidRPr="005B0194">
        <w:rPr>
          <w:rStyle w:val="hvr"/>
          <w:color w:val="FF0000"/>
        </w:rPr>
        <w:t>grounds</w:t>
      </w:r>
      <w:r w:rsidRPr="005B0194">
        <w:rPr>
          <w:color w:val="FF0000"/>
        </w:rPr>
        <w:t xml:space="preserve"> </w:t>
      </w:r>
      <w:r w:rsidRPr="00EB01A7">
        <w:rPr>
          <w:b/>
          <w:bCs/>
          <w:color w:val="FF0000"/>
        </w:rPr>
        <w:t>(</w:t>
      </w:r>
      <w:r w:rsidRPr="00EB01A7">
        <w:rPr>
          <w:rStyle w:val="hvr"/>
          <w:b/>
          <w:bCs/>
          <w:i/>
          <w:iCs/>
          <w:color w:val="FF0000"/>
        </w:rPr>
        <w:t>Baehr</w:t>
      </w:r>
      <w:r w:rsidRPr="00EB01A7">
        <w:rPr>
          <w:b/>
          <w:bCs/>
          <w:i/>
          <w:iCs/>
          <w:color w:val="FF0000"/>
        </w:rPr>
        <w:t xml:space="preserve"> v. </w:t>
      </w:r>
      <w:r w:rsidRPr="00EB01A7">
        <w:rPr>
          <w:rStyle w:val="hvr"/>
          <w:b/>
          <w:bCs/>
          <w:i/>
          <w:iCs/>
          <w:color w:val="FF0000"/>
        </w:rPr>
        <w:t>Lewin</w:t>
      </w:r>
      <w:r w:rsidRPr="00EB01A7">
        <w:rPr>
          <w:b/>
          <w:bCs/>
          <w:color w:val="FF0000"/>
        </w:rPr>
        <w:t xml:space="preserve">, </w:t>
      </w:r>
      <w:r w:rsidRPr="00EB01A7">
        <w:rPr>
          <w:rStyle w:val="hvr"/>
          <w:b/>
          <w:bCs/>
          <w:color w:val="FF0000"/>
        </w:rPr>
        <w:t>852P.2d44,</w:t>
      </w:r>
      <w:r w:rsidRPr="00EB01A7">
        <w:rPr>
          <w:b/>
          <w:bCs/>
          <w:color w:val="FF0000"/>
        </w:rPr>
        <w:t xml:space="preserve"> 74 </w:t>
      </w:r>
      <w:r w:rsidRPr="00EB01A7">
        <w:rPr>
          <w:rStyle w:val="hvr"/>
          <w:b/>
          <w:bCs/>
          <w:color w:val="FF0000"/>
        </w:rPr>
        <w:t>Haw.530)</w:t>
      </w:r>
      <w:r w:rsidRPr="005B0194">
        <w:rPr>
          <w:rStyle w:val="hvr"/>
          <w:color w:val="FF0000"/>
        </w:rPr>
        <w:t>. Although the court did not recognize</w:t>
      </w:r>
      <w:r w:rsidRPr="005B0194">
        <w:rPr>
          <w:color w:val="FF0000"/>
        </w:rPr>
        <w:t xml:space="preserve"> a </w:t>
      </w:r>
      <w:r w:rsidRPr="005B0194">
        <w:rPr>
          <w:rStyle w:val="hvr"/>
          <w:color w:val="FF0000"/>
        </w:rPr>
        <w:t>constitutional right</w:t>
      </w:r>
      <w:r w:rsidRPr="005B0194">
        <w:rPr>
          <w:color w:val="FF0000"/>
        </w:rPr>
        <w:t xml:space="preserve"> to </w:t>
      </w:r>
      <w:r w:rsidRPr="005B0194">
        <w:rPr>
          <w:rStyle w:val="hvr"/>
          <w:color w:val="FF0000"/>
        </w:rPr>
        <w:t>same-sex marriage,</w:t>
      </w:r>
      <w:r w:rsidRPr="005B0194">
        <w:rPr>
          <w:color w:val="FF0000"/>
        </w:rPr>
        <w:t xml:space="preserve"> it </w:t>
      </w:r>
      <w:r w:rsidRPr="005B0194">
        <w:rPr>
          <w:rStyle w:val="hvr"/>
          <w:color w:val="FF0000"/>
        </w:rPr>
        <w:t>raised the possibility that</w:t>
      </w:r>
      <w:r w:rsidRPr="005B0194">
        <w:rPr>
          <w:color w:val="FF0000"/>
        </w:rPr>
        <w:t xml:space="preserve"> a </w:t>
      </w:r>
      <w:r w:rsidRPr="005B0194">
        <w:rPr>
          <w:rStyle w:val="hvr"/>
          <w:color w:val="FF0000"/>
        </w:rPr>
        <w:t>successful equal protection challenge</w:t>
      </w:r>
      <w:r w:rsidRPr="005B0194">
        <w:rPr>
          <w:color w:val="FF0000"/>
        </w:rPr>
        <w:t xml:space="preserve"> to </w:t>
      </w:r>
      <w:r w:rsidRPr="005B0194">
        <w:rPr>
          <w:rStyle w:val="hvr"/>
          <w:color w:val="FF0000"/>
        </w:rPr>
        <w:t>the state's marriage laws could eventually lead</w:t>
      </w:r>
      <w:r w:rsidRPr="005B0194">
        <w:rPr>
          <w:color w:val="FF0000"/>
        </w:rPr>
        <w:t xml:space="preserve"> to </w:t>
      </w:r>
      <w:r w:rsidRPr="005B0194">
        <w:rPr>
          <w:rStyle w:val="hvr"/>
          <w:color w:val="FF0000"/>
        </w:rPr>
        <w:t>state-sanctioned same-sex</w:t>
      </w:r>
      <w:r>
        <w:rPr>
          <w:rStyle w:val="hvr"/>
          <w:color w:val="FF0000"/>
        </w:rPr>
        <w:t xml:space="preserve"> </w:t>
      </w:r>
      <w:r w:rsidRPr="005B0194">
        <w:rPr>
          <w:rStyle w:val="hvr"/>
          <w:color w:val="FF0000"/>
        </w:rPr>
        <w:t>marriages.</w:t>
      </w:r>
      <w:r w:rsidRPr="005B0194">
        <w:rPr>
          <w:color w:val="FF0000"/>
        </w:rPr>
        <w:t xml:space="preserve"> In </w:t>
      </w:r>
      <w:r w:rsidRPr="005B0194">
        <w:rPr>
          <w:rStyle w:val="hvr"/>
          <w:color w:val="FF0000"/>
        </w:rPr>
        <w:t>response</w:t>
      </w:r>
      <w:r w:rsidRPr="005B0194">
        <w:rPr>
          <w:color w:val="FF0000"/>
        </w:rPr>
        <w:t xml:space="preserve"> to </w:t>
      </w:r>
      <w:r w:rsidRPr="005B0194">
        <w:rPr>
          <w:rStyle w:val="hvr"/>
          <w:color w:val="FF0000"/>
        </w:rPr>
        <w:t xml:space="preserve">the </w:t>
      </w:r>
      <w:r w:rsidRPr="005B0194">
        <w:rPr>
          <w:rStyle w:val="hvr"/>
          <w:i/>
          <w:iCs/>
          <w:color w:val="FF0000"/>
        </w:rPr>
        <w:t xml:space="preserve">Baehr </w:t>
      </w:r>
      <w:r w:rsidRPr="005B0194">
        <w:rPr>
          <w:rStyle w:val="hvr"/>
          <w:color w:val="FF0000"/>
        </w:rPr>
        <w:t>case, Congress</w:t>
      </w:r>
      <w:r w:rsidRPr="005B0194">
        <w:rPr>
          <w:color w:val="FF0000"/>
        </w:rPr>
        <w:t xml:space="preserve"> in </w:t>
      </w:r>
      <w:r w:rsidRPr="005B0194">
        <w:rPr>
          <w:rStyle w:val="hvr"/>
          <w:color w:val="FF0000"/>
        </w:rPr>
        <w:t>1996 passed the Defense</w:t>
      </w:r>
      <w:r w:rsidRPr="005B0194">
        <w:rPr>
          <w:color w:val="FF0000"/>
        </w:rPr>
        <w:t xml:space="preserve"> of </w:t>
      </w:r>
      <w:r w:rsidRPr="005B0194">
        <w:rPr>
          <w:rStyle w:val="hvr"/>
          <w:color w:val="FF0000"/>
        </w:rPr>
        <w:t xml:space="preserve">Marriage </w:t>
      </w:r>
      <w:r w:rsidRPr="00EB01A7">
        <w:rPr>
          <w:rStyle w:val="hvr"/>
          <w:color w:val="FF0000"/>
        </w:rPr>
        <w:t>Act (110Stat.</w:t>
      </w:r>
      <w:r w:rsidRPr="00EB01A7">
        <w:rPr>
          <w:color w:val="FF0000"/>
        </w:rPr>
        <w:t xml:space="preserve"> § </w:t>
      </w:r>
      <w:r w:rsidRPr="00EB01A7">
        <w:rPr>
          <w:rStyle w:val="hvr"/>
          <w:color w:val="FF0000"/>
        </w:rPr>
        <w:t>2419),which</w:t>
      </w:r>
      <w:r w:rsidRPr="005B0194">
        <w:rPr>
          <w:rStyle w:val="hvr"/>
          <w:color w:val="FF0000"/>
        </w:rPr>
        <w:t xml:space="preserve"> defines marriage</w:t>
      </w:r>
      <w:r w:rsidRPr="005B0194">
        <w:rPr>
          <w:color w:val="FF0000"/>
        </w:rPr>
        <w:t xml:space="preserve"> as a </w:t>
      </w:r>
      <w:r w:rsidRPr="005B0194">
        <w:rPr>
          <w:rStyle w:val="hvr"/>
          <w:color w:val="FF0000"/>
        </w:rPr>
        <w:t>union</w:t>
      </w:r>
      <w:r w:rsidRPr="005B0194">
        <w:rPr>
          <w:color w:val="FF0000"/>
        </w:rPr>
        <w:t xml:space="preserve"> of a </w:t>
      </w:r>
      <w:r w:rsidRPr="005B0194">
        <w:rPr>
          <w:rStyle w:val="hvr"/>
          <w:color w:val="FF0000"/>
        </w:rPr>
        <w:t>man and</w:t>
      </w:r>
      <w:r w:rsidRPr="005B0194">
        <w:rPr>
          <w:color w:val="FF0000"/>
        </w:rPr>
        <w:t xml:space="preserve"> a </w:t>
      </w:r>
      <w:r w:rsidRPr="005B0194">
        <w:rPr>
          <w:rStyle w:val="hvr"/>
          <w:color w:val="FF0000"/>
        </w:rPr>
        <w:t>woman for federal purposes and expressly grants states the right</w:t>
      </w:r>
      <w:r w:rsidRPr="005B0194">
        <w:rPr>
          <w:color w:val="FF0000"/>
        </w:rPr>
        <w:t xml:space="preserve"> to </w:t>
      </w:r>
      <w:r w:rsidRPr="005B0194">
        <w:rPr>
          <w:rStyle w:val="hvr"/>
          <w:color w:val="FF0000"/>
        </w:rPr>
        <w:t>refuse</w:t>
      </w:r>
      <w:r w:rsidRPr="005B0194">
        <w:rPr>
          <w:color w:val="FF0000"/>
        </w:rPr>
        <w:t xml:space="preserve"> to </w:t>
      </w:r>
      <w:r w:rsidRPr="005B0194">
        <w:rPr>
          <w:rStyle w:val="hvr"/>
          <w:color w:val="FF0000"/>
        </w:rPr>
        <w:t>recognize</w:t>
      </w:r>
      <w:r w:rsidRPr="005B0194">
        <w:rPr>
          <w:color w:val="FF0000"/>
        </w:rPr>
        <w:t xml:space="preserve"> a </w:t>
      </w:r>
      <w:r w:rsidRPr="005B0194">
        <w:rPr>
          <w:rStyle w:val="hvr"/>
          <w:color w:val="FF0000"/>
        </w:rPr>
        <w:t>same-sex marriage performed</w:t>
      </w:r>
      <w:r w:rsidRPr="005B0194">
        <w:rPr>
          <w:color w:val="FF0000"/>
        </w:rPr>
        <w:t xml:space="preserve"> in </w:t>
      </w:r>
      <w:r w:rsidRPr="005B0194">
        <w:rPr>
          <w:rStyle w:val="hvr"/>
          <w:color w:val="FF0000"/>
        </w:rPr>
        <w:t>another state.</w:t>
      </w:r>
    </w:p>
    <w:p w:rsidR="009A4AAD" w:rsidRPr="005B0194" w:rsidRDefault="009A4AAD" w:rsidP="009A4AAD">
      <w:pPr>
        <w:pStyle w:val="NormalWeb"/>
        <w:rPr>
          <w:color w:val="FF0000"/>
        </w:rPr>
      </w:pPr>
      <w:r w:rsidRPr="005B0194">
        <w:rPr>
          <w:rStyle w:val="hvr"/>
          <w:color w:val="FF0000"/>
        </w:rPr>
        <w:t>During the 1980 sand 1990s, the Full Faith and Credit Clause was applied</w:t>
      </w:r>
      <w:r w:rsidRPr="005B0194">
        <w:rPr>
          <w:color w:val="FF0000"/>
        </w:rPr>
        <w:t xml:space="preserve"> to </w:t>
      </w:r>
      <w:r w:rsidRPr="005B0194">
        <w:rPr>
          <w:rStyle w:val="hvr"/>
          <w:color w:val="FF0000"/>
        </w:rPr>
        <w:t xml:space="preserve">new matters. </w:t>
      </w:r>
      <w:hyperlink r:id="rId10" w:history="1">
        <w:r w:rsidRPr="005B0194">
          <w:rPr>
            <w:rStyle w:val="Hyperlink"/>
            <w:rFonts w:eastAsiaTheme="majorEastAsia"/>
            <w:color w:val="FF0000"/>
          </w:rPr>
          <w:t>Child Custody</w:t>
        </w:r>
      </w:hyperlink>
      <w:r w:rsidRPr="005B0194">
        <w:rPr>
          <w:color w:val="FF0000"/>
        </w:rPr>
        <w:t xml:space="preserve"> </w:t>
      </w:r>
      <w:r w:rsidRPr="005B0194">
        <w:rPr>
          <w:rStyle w:val="hvr"/>
          <w:color w:val="FF0000"/>
        </w:rPr>
        <w:t>determination shad historically fallen under the jurisdiction</w:t>
      </w:r>
      <w:r w:rsidRPr="005B0194">
        <w:rPr>
          <w:color w:val="FF0000"/>
        </w:rPr>
        <w:t xml:space="preserve"> of </w:t>
      </w:r>
      <w:r w:rsidRPr="005B0194">
        <w:rPr>
          <w:rStyle w:val="hvr"/>
          <w:color w:val="FF0000"/>
        </w:rPr>
        <w:t>state courts, and before the 1970s, other states did not accord them full faith and credit enforcement.</w:t>
      </w:r>
      <w:r w:rsidRPr="005B0194">
        <w:rPr>
          <w:color w:val="FF0000"/>
        </w:rPr>
        <w:t xml:space="preserve"> As a </w:t>
      </w:r>
      <w:r w:rsidRPr="005B0194">
        <w:rPr>
          <w:rStyle w:val="hvr"/>
          <w:color w:val="FF0000"/>
        </w:rPr>
        <w:t>result,</w:t>
      </w:r>
      <w:r w:rsidRPr="005B0194">
        <w:rPr>
          <w:color w:val="FF0000"/>
        </w:rPr>
        <w:t xml:space="preserve"> a </w:t>
      </w:r>
      <w:r w:rsidRPr="005B0194">
        <w:rPr>
          <w:rStyle w:val="hvr"/>
          <w:color w:val="FF0000"/>
        </w:rPr>
        <w:t>divorced parent who was unhappy with one state's custody decision could sometimes obtain</w:t>
      </w:r>
      <w:r w:rsidRPr="005B0194">
        <w:rPr>
          <w:color w:val="FF0000"/>
        </w:rPr>
        <w:t xml:space="preserve"> a </w:t>
      </w:r>
      <w:r w:rsidRPr="005B0194">
        <w:rPr>
          <w:rStyle w:val="hvr"/>
          <w:color w:val="FF0000"/>
        </w:rPr>
        <w:t>more favorable ruling from another state. This was</w:t>
      </w:r>
      <w:r w:rsidRPr="005B0194">
        <w:rPr>
          <w:color w:val="FF0000"/>
        </w:rPr>
        <w:t xml:space="preserve"> an </w:t>
      </w:r>
      <w:r w:rsidRPr="005B0194">
        <w:rPr>
          <w:rStyle w:val="hvr"/>
          <w:color w:val="FF0000"/>
        </w:rPr>
        <w:t>incentive for</w:t>
      </w:r>
      <w:r w:rsidRPr="005B0194">
        <w:rPr>
          <w:color w:val="FF0000"/>
        </w:rPr>
        <w:t xml:space="preserve"> a </w:t>
      </w:r>
      <w:r w:rsidRPr="005B0194">
        <w:rPr>
          <w:rStyle w:val="hvr"/>
          <w:color w:val="FF0000"/>
        </w:rPr>
        <w:t>dissatisfied parent</w:t>
      </w:r>
      <w:r w:rsidRPr="005B0194">
        <w:rPr>
          <w:color w:val="FF0000"/>
        </w:rPr>
        <w:t xml:space="preserve"> to </w:t>
      </w:r>
      <w:r w:rsidRPr="005B0194">
        <w:rPr>
          <w:rStyle w:val="hvr"/>
          <w:smallCaps/>
          <w:color w:val="FF0000"/>
        </w:rPr>
        <w:t>kidnap</w:t>
      </w:r>
      <w:r w:rsidRPr="005B0194">
        <w:rPr>
          <w:color w:val="FF0000"/>
        </w:rPr>
        <w:t xml:space="preserve"> a </w:t>
      </w:r>
      <w:r w:rsidRPr="005B0194">
        <w:rPr>
          <w:rStyle w:val="hvr"/>
          <w:color w:val="FF0000"/>
        </w:rPr>
        <w:t>child and move</w:t>
      </w:r>
      <w:r w:rsidRPr="005B0194">
        <w:rPr>
          <w:color w:val="FF0000"/>
        </w:rPr>
        <w:t xml:space="preserve"> to </w:t>
      </w:r>
      <w:r w:rsidRPr="005B0194">
        <w:rPr>
          <w:rStyle w:val="hvr"/>
          <w:color w:val="FF0000"/>
        </w:rPr>
        <w:t>another state</w:t>
      </w:r>
      <w:r w:rsidRPr="005B0194">
        <w:rPr>
          <w:color w:val="FF0000"/>
        </w:rPr>
        <w:t xml:space="preserve"> in </w:t>
      </w:r>
      <w:r w:rsidRPr="005B0194">
        <w:rPr>
          <w:rStyle w:val="hvr"/>
          <w:color w:val="FF0000"/>
        </w:rPr>
        <w:t>order</w:t>
      </w:r>
      <w:r w:rsidRPr="005B0194">
        <w:rPr>
          <w:color w:val="FF0000"/>
        </w:rPr>
        <w:t xml:space="preserve"> to </w:t>
      </w:r>
      <w:r w:rsidRPr="005B0194">
        <w:rPr>
          <w:rStyle w:val="hvr"/>
          <w:color w:val="FF0000"/>
        </w:rPr>
        <w:t>petition for custody.</w:t>
      </w:r>
      <w:r w:rsidRPr="005B0194">
        <w:rPr>
          <w:color w:val="FF0000"/>
        </w:rPr>
        <w:t xml:space="preserve"> In </w:t>
      </w:r>
      <w:r w:rsidRPr="005B0194">
        <w:rPr>
          <w:rStyle w:val="hvr"/>
          <w:color w:val="FF0000"/>
        </w:rPr>
        <w:t>response</w:t>
      </w:r>
      <w:r w:rsidRPr="005B0194">
        <w:rPr>
          <w:color w:val="FF0000"/>
        </w:rPr>
        <w:t xml:space="preserve"> to </w:t>
      </w:r>
      <w:r w:rsidRPr="005B0194">
        <w:rPr>
          <w:rStyle w:val="hvr"/>
          <w:color w:val="FF0000"/>
        </w:rPr>
        <w:t>this situation, the Uniform Child Custody Jurisdiction Act (UCCJA) was adopted</w:t>
      </w:r>
      <w:r w:rsidRPr="005B0194">
        <w:rPr>
          <w:color w:val="FF0000"/>
        </w:rPr>
        <w:t xml:space="preserve"> by </w:t>
      </w:r>
      <w:r w:rsidRPr="005B0194">
        <w:rPr>
          <w:rStyle w:val="hvr"/>
          <w:color w:val="FF0000"/>
        </w:rPr>
        <w:t>the National Conference</w:t>
      </w:r>
      <w:r w:rsidRPr="005B0194">
        <w:rPr>
          <w:color w:val="FF0000"/>
        </w:rPr>
        <w:t xml:space="preserve"> of </w:t>
      </w:r>
      <w:r w:rsidRPr="005B0194">
        <w:rPr>
          <w:rStyle w:val="hvr"/>
          <w:color w:val="FF0000"/>
        </w:rPr>
        <w:t>Commissioners</w:t>
      </w:r>
      <w:r w:rsidRPr="005B0194">
        <w:rPr>
          <w:color w:val="FF0000"/>
        </w:rPr>
        <w:t xml:space="preserve"> on </w:t>
      </w:r>
      <w:r w:rsidRPr="005B0194">
        <w:rPr>
          <w:rStyle w:val="hvr"/>
          <w:color w:val="FF0000"/>
        </w:rPr>
        <w:t>Uniform State Laws</w:t>
      </w:r>
      <w:r w:rsidRPr="005B0194">
        <w:rPr>
          <w:color w:val="FF0000"/>
        </w:rPr>
        <w:t xml:space="preserve"> in </w:t>
      </w:r>
      <w:r w:rsidRPr="005B0194">
        <w:rPr>
          <w:rStyle w:val="hvr"/>
          <w:color w:val="FF0000"/>
        </w:rPr>
        <w:t>1968.</w:t>
      </w:r>
      <w:r w:rsidRPr="005B0194">
        <w:rPr>
          <w:color w:val="FF0000"/>
        </w:rPr>
        <w:t xml:space="preserve"> By </w:t>
      </w:r>
      <w:r w:rsidRPr="005B0194">
        <w:rPr>
          <w:rStyle w:val="hvr"/>
          <w:color w:val="FF0000"/>
        </w:rPr>
        <w:t>1984, every state had adopted</w:t>
      </w:r>
      <w:r w:rsidRPr="005B0194">
        <w:rPr>
          <w:color w:val="FF0000"/>
        </w:rPr>
        <w:t xml:space="preserve"> </w:t>
      </w:r>
      <w:r w:rsidRPr="005B0194">
        <w:rPr>
          <w:color w:val="FF0000"/>
        </w:rPr>
        <w:lastRenderedPageBreak/>
        <w:t xml:space="preserve">a </w:t>
      </w:r>
      <w:r w:rsidRPr="005B0194">
        <w:rPr>
          <w:rStyle w:val="hvr"/>
          <w:color w:val="FF0000"/>
        </w:rPr>
        <w:t>version</w:t>
      </w:r>
      <w:r w:rsidRPr="005B0194">
        <w:rPr>
          <w:color w:val="FF0000"/>
        </w:rPr>
        <w:t xml:space="preserve"> of </w:t>
      </w:r>
      <w:r w:rsidRPr="005B0194">
        <w:rPr>
          <w:rStyle w:val="hvr"/>
          <w:color w:val="FF0000"/>
        </w:rPr>
        <w:t>the UCCJA.</w:t>
      </w:r>
      <w:r w:rsidRPr="005B0194">
        <w:rPr>
          <w:color w:val="FF0000"/>
        </w:rPr>
        <w:t xml:space="preserve"> In </w:t>
      </w:r>
      <w:r w:rsidRPr="005B0194">
        <w:rPr>
          <w:rStyle w:val="hvr"/>
          <w:color w:val="FF0000"/>
        </w:rPr>
        <w:t xml:space="preserve">1980, Congress passed the Parental Kidnapping Prevention </w:t>
      </w:r>
      <w:r w:rsidRPr="005B0194">
        <w:rPr>
          <w:rStyle w:val="hvr"/>
          <w:b/>
          <w:bCs/>
          <w:color w:val="FF0000"/>
        </w:rPr>
        <w:t>Act (28U.S.C.A.</w:t>
      </w:r>
      <w:r w:rsidRPr="005B0194">
        <w:rPr>
          <w:b/>
          <w:bCs/>
          <w:color w:val="FF0000"/>
        </w:rPr>
        <w:t xml:space="preserve"> § </w:t>
      </w:r>
      <w:r w:rsidRPr="005B0194">
        <w:rPr>
          <w:rStyle w:val="hvr"/>
          <w:b/>
          <w:bCs/>
          <w:color w:val="FF0000"/>
        </w:rPr>
        <w:t>1738A</w:t>
      </w:r>
      <w:r w:rsidRPr="005B0194">
        <w:rPr>
          <w:rStyle w:val="hvr"/>
          <w:color w:val="FF0000"/>
        </w:rPr>
        <w:t>), which aids enforcement and promotes finality</w:t>
      </w:r>
      <w:r w:rsidRPr="005B0194">
        <w:rPr>
          <w:color w:val="FF0000"/>
        </w:rPr>
        <w:t xml:space="preserve"> in </w:t>
      </w:r>
      <w:r w:rsidRPr="005B0194">
        <w:rPr>
          <w:rStyle w:val="hvr"/>
          <w:color w:val="FF0000"/>
        </w:rPr>
        <w:t>child custody decisions</w:t>
      </w:r>
      <w:r w:rsidRPr="005B0194">
        <w:rPr>
          <w:color w:val="FF0000"/>
        </w:rPr>
        <w:t xml:space="preserve"> by </w:t>
      </w:r>
      <w:r w:rsidRPr="005B0194">
        <w:rPr>
          <w:rStyle w:val="hvr"/>
          <w:color w:val="FF0000"/>
        </w:rPr>
        <w:t>providing that valid custody decrees are entitled</w:t>
      </w:r>
      <w:r w:rsidRPr="005B0194">
        <w:rPr>
          <w:color w:val="FF0000"/>
        </w:rPr>
        <w:t xml:space="preserve"> to </w:t>
      </w:r>
      <w:r w:rsidRPr="005B0194">
        <w:rPr>
          <w:rStyle w:val="hvr"/>
          <w:color w:val="FF0000"/>
        </w:rPr>
        <w:t>full faith and credit enforcement</w:t>
      </w:r>
      <w:r w:rsidRPr="005B0194">
        <w:rPr>
          <w:color w:val="FF0000"/>
        </w:rPr>
        <w:t xml:space="preserve"> in </w:t>
      </w:r>
      <w:r w:rsidRPr="005B0194">
        <w:rPr>
          <w:rStyle w:val="hvr"/>
          <w:color w:val="FF0000"/>
        </w:rPr>
        <w:t xml:space="preserve">other states. The </w:t>
      </w:r>
      <w:hyperlink r:id="rId11" w:history="1">
        <w:r w:rsidRPr="005B0194">
          <w:rPr>
            <w:rStyle w:val="Hyperlink"/>
            <w:rFonts w:eastAsiaTheme="majorEastAsia"/>
            <w:color w:val="FF0000"/>
          </w:rPr>
          <w:t>Violence against Women Act of 1994</w:t>
        </w:r>
      </w:hyperlink>
      <w:r w:rsidRPr="005B0194">
        <w:rPr>
          <w:color w:val="FF0000"/>
        </w:rPr>
        <w:t xml:space="preserve">  </w:t>
      </w:r>
      <w:r w:rsidRPr="005B0194">
        <w:rPr>
          <w:rStyle w:val="hvr"/>
          <w:color w:val="FF0000"/>
        </w:rPr>
        <w:t>(Pub.</w:t>
      </w:r>
      <w:r w:rsidRPr="005B0194">
        <w:rPr>
          <w:color w:val="FF0000"/>
        </w:rPr>
        <w:t xml:space="preserve"> L. </w:t>
      </w:r>
      <w:r w:rsidRPr="005B0194">
        <w:rPr>
          <w:rStyle w:val="hvr"/>
          <w:color w:val="FF0000"/>
        </w:rPr>
        <w:t>No.103-322[codified</w:t>
      </w:r>
      <w:r w:rsidRPr="005B0194">
        <w:rPr>
          <w:color w:val="FF0000"/>
        </w:rPr>
        <w:t xml:space="preserve"> in </w:t>
      </w:r>
      <w:r w:rsidRPr="005B0194">
        <w:rPr>
          <w:rStyle w:val="hvr"/>
          <w:color w:val="FF0000"/>
        </w:rPr>
        <w:t>scattered sections</w:t>
      </w:r>
      <w:r w:rsidRPr="005B0194">
        <w:rPr>
          <w:color w:val="FF0000"/>
        </w:rPr>
        <w:t xml:space="preserve"> of </w:t>
      </w:r>
      <w:r w:rsidRPr="00EB01A7">
        <w:rPr>
          <w:b/>
          <w:bCs/>
          <w:color w:val="FF0000"/>
        </w:rPr>
        <w:t xml:space="preserve">8 </w:t>
      </w:r>
      <w:r w:rsidRPr="00EB01A7">
        <w:rPr>
          <w:rStyle w:val="hvr"/>
          <w:b/>
          <w:bCs/>
          <w:color w:val="FF0000"/>
        </w:rPr>
        <w:t>U.S.C.A.,</w:t>
      </w:r>
      <w:r w:rsidRPr="00EB01A7">
        <w:rPr>
          <w:b/>
          <w:bCs/>
          <w:color w:val="FF0000"/>
        </w:rPr>
        <w:t xml:space="preserve"> 18 </w:t>
      </w:r>
      <w:r w:rsidRPr="00EB01A7">
        <w:rPr>
          <w:rStyle w:val="hvr"/>
          <w:b/>
          <w:bCs/>
          <w:color w:val="FF0000"/>
        </w:rPr>
        <w:t>U.S.C.A.,</w:t>
      </w:r>
      <w:r w:rsidRPr="00EB01A7">
        <w:rPr>
          <w:b/>
          <w:bCs/>
          <w:color w:val="FF0000"/>
        </w:rPr>
        <w:t xml:space="preserve"> 42 </w:t>
      </w:r>
      <w:r w:rsidRPr="00EB01A7">
        <w:rPr>
          <w:rStyle w:val="hvr"/>
          <w:b/>
          <w:bCs/>
          <w:color w:val="FF0000"/>
        </w:rPr>
        <w:t>U.S.C.A</w:t>
      </w:r>
      <w:r w:rsidRPr="005B0194">
        <w:rPr>
          <w:rStyle w:val="hvr"/>
          <w:color w:val="FF0000"/>
        </w:rPr>
        <w:t>.]) extends full faith and credit</w:t>
      </w:r>
      <w:r w:rsidRPr="005B0194">
        <w:rPr>
          <w:color w:val="FF0000"/>
        </w:rPr>
        <w:t xml:space="preserve"> to </w:t>
      </w:r>
      <w:r w:rsidRPr="005B0194">
        <w:rPr>
          <w:rStyle w:val="hvr"/>
          <w:color w:val="FF0000"/>
        </w:rPr>
        <w:t>the enforcement</w:t>
      </w:r>
      <w:r w:rsidRPr="005B0194">
        <w:rPr>
          <w:color w:val="FF0000"/>
        </w:rPr>
        <w:t xml:space="preserve"> of </w:t>
      </w:r>
      <w:r w:rsidRPr="005B0194">
        <w:rPr>
          <w:rStyle w:val="hvr"/>
          <w:color w:val="FF0000"/>
        </w:rPr>
        <w:t>protective orders, which previously were not enforced except</w:t>
      </w:r>
      <w:r w:rsidRPr="005B0194">
        <w:rPr>
          <w:color w:val="FF0000"/>
        </w:rPr>
        <w:t xml:space="preserve"> in </w:t>
      </w:r>
      <w:r w:rsidRPr="005B0194">
        <w:rPr>
          <w:rStyle w:val="hvr"/>
          <w:color w:val="FF0000"/>
        </w:rPr>
        <w:t>the state where they were rendered. This gave</w:t>
      </w:r>
      <w:r w:rsidRPr="005B0194">
        <w:rPr>
          <w:color w:val="FF0000"/>
        </w:rPr>
        <w:t xml:space="preserve"> a </w:t>
      </w:r>
      <w:r w:rsidRPr="005B0194">
        <w:rPr>
          <w:rStyle w:val="hvr"/>
          <w:color w:val="FF0000"/>
        </w:rPr>
        <w:t>new measure</w:t>
      </w:r>
      <w:r w:rsidRPr="005B0194">
        <w:rPr>
          <w:color w:val="FF0000"/>
        </w:rPr>
        <w:t xml:space="preserve"> of </w:t>
      </w:r>
      <w:r w:rsidRPr="005B0194">
        <w:rPr>
          <w:rStyle w:val="hvr"/>
          <w:color w:val="FF0000"/>
        </w:rPr>
        <w:t>protection</w:t>
      </w:r>
      <w:r w:rsidRPr="005B0194">
        <w:rPr>
          <w:color w:val="FF0000"/>
        </w:rPr>
        <w:t xml:space="preserve"> to </w:t>
      </w:r>
      <w:r w:rsidRPr="005B0194">
        <w:rPr>
          <w:rStyle w:val="hvr"/>
          <w:color w:val="FF0000"/>
        </w:rPr>
        <w:t>victims who moved</w:t>
      </w:r>
      <w:r w:rsidRPr="005B0194">
        <w:rPr>
          <w:color w:val="FF0000"/>
        </w:rPr>
        <w:t xml:space="preserve"> to a </w:t>
      </w:r>
      <w:r w:rsidRPr="005B0194">
        <w:rPr>
          <w:rStyle w:val="hvr"/>
          <w:color w:val="FF0000"/>
        </w:rPr>
        <w:t>different state after obtaining</w:t>
      </w:r>
      <w:r w:rsidRPr="005B0194">
        <w:rPr>
          <w:color w:val="FF0000"/>
        </w:rPr>
        <w:t xml:space="preserve"> a </w:t>
      </w:r>
      <w:r w:rsidRPr="005B0194">
        <w:rPr>
          <w:rStyle w:val="hvr"/>
          <w:color w:val="FF0000"/>
        </w:rPr>
        <w:t>protective order</w:t>
      </w:r>
      <w:r w:rsidRPr="005B0194">
        <w:rPr>
          <w:color w:val="FF0000"/>
        </w:rPr>
        <w:t xml:space="preserve"> in </w:t>
      </w:r>
      <w:r w:rsidRPr="005B0194">
        <w:rPr>
          <w:rStyle w:val="hvr"/>
          <w:color w:val="FF0000"/>
        </w:rPr>
        <w:t>one state.</w:t>
      </w:r>
    </w:p>
    <w:p w:rsidR="009A4AAD" w:rsidRPr="009A4AAD" w:rsidRDefault="009A4AAD" w:rsidP="009A4AAD">
      <w:pPr>
        <w:rPr>
          <w:rFonts w:ascii="Times New Roman" w:hAnsi="Times New Roman" w:cs="Times New Roman"/>
          <w:b/>
          <w:bCs/>
          <w:sz w:val="40"/>
          <w:szCs w:val="40"/>
        </w:rPr>
      </w:pPr>
      <w:r w:rsidRPr="009A4AAD">
        <w:rPr>
          <w:rFonts w:ascii="Times New Roman" w:hAnsi="Times New Roman" w:cs="Times New Roman"/>
          <w:b/>
          <w:bCs/>
          <w:sz w:val="40"/>
          <w:szCs w:val="40"/>
        </w:rPr>
        <w:t>EQUAL FOOTING DOCTRINE</w:t>
      </w:r>
    </w:p>
    <w:p w:rsidR="009A4AAD" w:rsidRPr="009A4AAD" w:rsidRDefault="009A4AAD" w:rsidP="009A4AAD">
      <w:pPr>
        <w:rPr>
          <w:rFonts w:ascii="Times New Roman" w:hAnsi="Times New Roman" w:cs="Times New Roman"/>
          <w:b/>
          <w:bCs/>
          <w:sz w:val="40"/>
          <w:szCs w:val="40"/>
        </w:rPr>
      </w:pPr>
      <w:r w:rsidRPr="009A4AAD">
        <w:rPr>
          <w:rFonts w:ascii="Times New Roman" w:hAnsi="Times New Roman" w:cs="Times New Roman"/>
          <w:b/>
          <w:bCs/>
          <w:sz w:val="40"/>
          <w:szCs w:val="40"/>
        </w:rPr>
        <w:t xml:space="preserve">DOCTRINE OF THE EQUALITY OF STATES </w:t>
      </w:r>
    </w:p>
    <w:p w:rsidR="009A4AAD" w:rsidRPr="005B0194" w:rsidRDefault="009A4AAD" w:rsidP="009A4AAD">
      <w:pPr>
        <w:pStyle w:val="annotation"/>
        <w:rPr>
          <w:color w:val="FF0000"/>
        </w:rPr>
      </w:pPr>
      <w:r w:rsidRPr="005B0194">
        <w:rPr>
          <w:b/>
          <w:bCs/>
          <w:color w:val="FF0000"/>
          <w:highlight w:val="yellow"/>
        </w:rPr>
        <w:t>“Equality of constitutional right and power is the condition of all the States of the Union, old and new.”</w:t>
      </w:r>
      <w:r w:rsidRPr="005B0194">
        <w:rPr>
          <w:b/>
          <w:bCs/>
          <w:color w:val="FF0000"/>
        </w:rPr>
        <w:t xml:space="preserve"> </w:t>
      </w:r>
      <w:r w:rsidRPr="005B0194">
        <w:rPr>
          <w:color w:val="FF0000"/>
        </w:rPr>
        <w:t xml:space="preserve"> This doctrine, now a truism of constitutional law, did not find favor in the Constitutional Convention. That body struck out from this section, as reported by the Committee on Detail, two sections to the effect that “</w:t>
      </w:r>
      <w:r w:rsidRPr="005B0194">
        <w:rPr>
          <w:b/>
          <w:bCs/>
          <w:color w:val="FF0000"/>
          <w:highlight w:val="yellow"/>
        </w:rPr>
        <w:t>new States shall be admitted on the same terms with the original States</w:t>
      </w:r>
      <w:r w:rsidRPr="005B0194">
        <w:rPr>
          <w:color w:val="FF0000"/>
        </w:rPr>
        <w:t>. But the Legislature may make conditions with the new States concerning the public debt which shall be subsisting.” Opposing this action, Madison insisted that “the Western States neither would nor ought to submit to a union which degraded them from an equal rank with the other States.”</w:t>
      </w:r>
      <w:r>
        <w:rPr>
          <w:color w:val="FF0000"/>
        </w:rPr>
        <w:t xml:space="preserve"> </w:t>
      </w:r>
      <w:r w:rsidRPr="005B0194">
        <w:rPr>
          <w:color w:val="FF0000"/>
        </w:rPr>
        <w:t xml:space="preserve"> Nonetheless, after further expressions of opinion pro and con, the Convention voted nine states to two to delete the requirement of equality.</w:t>
      </w:r>
    </w:p>
    <w:p w:rsidR="009A4AAD" w:rsidRPr="005B0194" w:rsidRDefault="009A4AAD" w:rsidP="009A4AAD">
      <w:pPr>
        <w:pStyle w:val="annotation"/>
        <w:rPr>
          <w:color w:val="FF0000"/>
        </w:rPr>
      </w:pPr>
      <w:r w:rsidRPr="005B0194">
        <w:rPr>
          <w:color w:val="FF0000"/>
        </w:rPr>
        <w:t xml:space="preserve">Prior to this time, however, Georgia and Virginia had ceded to the United States large territories held by them, upon condition that new states should be formed there from and admitted to the Union on an equal footing with the original states. </w:t>
      </w:r>
      <w:r w:rsidRPr="005B0194">
        <w:rPr>
          <w:b/>
          <w:bCs/>
          <w:color w:val="FF0000"/>
          <w:highlight w:val="yellow"/>
        </w:rPr>
        <w:t>Since the admission of Tennessee in 1796, Congress has included in each state’s act of admission a clause providing that the state enters the Union “on an equal footing with the original States in all respects whatever</w:t>
      </w:r>
      <w:r w:rsidRPr="005B0194">
        <w:rPr>
          <w:color w:val="FF0000"/>
        </w:rPr>
        <w:t>.”</w:t>
      </w:r>
      <w:r>
        <w:t xml:space="preserve"> </w:t>
      </w:r>
      <w:r w:rsidRPr="00EB3844">
        <w:rPr>
          <w:b/>
          <w:bCs/>
          <w:color w:val="FF0000"/>
          <w:highlight w:val="yellow"/>
        </w:rPr>
        <w:t>With the admission of Louisiana in 1812, the principle of equality was extended to states created out of territory purchased from a foreign power. By the Joint Resolution of December 29, 1845, Texas, then an independent Nation, “was admitted into the Union on an equal footing with the original States in all respects whatever.</w:t>
      </w:r>
      <w:r w:rsidRPr="00EB3844">
        <w:rPr>
          <w:b/>
          <w:bCs/>
          <w:color w:val="FF0000"/>
        </w:rPr>
        <w:t>”</w:t>
      </w:r>
    </w:p>
    <w:p w:rsidR="009A4AAD" w:rsidRPr="005B0194" w:rsidRDefault="009A4AAD" w:rsidP="009A4AAD">
      <w:pPr>
        <w:pStyle w:val="annotation"/>
        <w:rPr>
          <w:color w:val="FF0000"/>
        </w:rPr>
      </w:pPr>
      <w:r w:rsidRPr="005B0194">
        <w:rPr>
          <w:color w:val="FF0000"/>
        </w:rPr>
        <w:t xml:space="preserve">However, if the doctrine rested merely on construction of the declarations in the admission acts, then the conditions and limitations imposed by Congress and agreed to by the states in order to be admitted would nonetheless govern, since they must be construed along with the declarations. Again and again, however, in adjudicating the rights and duties of states admitted after 1789, the Supreme Court has referred to the condition of equality as if it were an inherent attribute of the Federal Union. That the doctrine is of constitutional stature was made evident at least by the time of the decision in </w:t>
      </w:r>
      <w:r w:rsidRPr="005B0194">
        <w:rPr>
          <w:rStyle w:val="Emphasis"/>
          <w:color w:val="FF0000"/>
        </w:rPr>
        <w:t>Pollard’s Lessee</w:t>
      </w:r>
      <w:r w:rsidRPr="005B0194">
        <w:rPr>
          <w:color w:val="FF0000"/>
        </w:rPr>
        <w:t xml:space="preserve">, if not before. </w:t>
      </w:r>
      <w:r w:rsidRPr="005B0194">
        <w:rPr>
          <w:rStyle w:val="Emphasis"/>
          <w:color w:val="FF0000"/>
        </w:rPr>
        <w:t xml:space="preserve">Pollard’s Lessee </w:t>
      </w:r>
      <w:r w:rsidRPr="005B0194">
        <w:rPr>
          <w:color w:val="FF0000"/>
        </w:rPr>
        <w:t xml:space="preserve">involved conflicting claims by the United States and Alabama of ownership of certain partially inundated lands on the shore of the Gulf of Mexico in Alabama. The enabling act for Alabama had contained both a declaration of equal footing and a reservation to the United States of these lands. Rather than an issue of mere land ownership, the Court saw the question as one concerning sovereignty and jurisdiction of the states. Because the original states retained sovereignty and jurisdiction over the navigable waters and the soil beneath them within their boundaries, retention by the United States of either </w:t>
      </w:r>
      <w:r w:rsidRPr="005B0194">
        <w:rPr>
          <w:color w:val="FF0000"/>
        </w:rPr>
        <w:lastRenderedPageBreak/>
        <w:t xml:space="preserve">title to or jurisdiction over common lands in the new states would bring those states into the Union on less than an equal footing with the original states. This, the Court would not permit. “Alabama is, therefore, entitled to the sovereignty and jurisdiction over all the territory within her limits, subject to the common law, to the same extent that Georgia possessed it, before she ceded it to the United States. To maintain any other doctrine, is to deny that Alabama has been admitted into the union on an equal footing with the original states, the constitution, laws, and compact, to the contrary notwithstanding. . . . [T]o Alabama belong the navigable waters and soils under them, in controversy in this case, subject to the rights surrendered by the Constitution to the United States; </w:t>
      </w:r>
      <w:r w:rsidRPr="005B0194">
        <w:rPr>
          <w:rStyle w:val="Emphasis"/>
          <w:color w:val="FF0000"/>
        </w:rPr>
        <w:t>and no compact that might be made between her and the United States could diminish or enlarge these rights.</w:t>
      </w:r>
      <w:r w:rsidRPr="005B0194">
        <w:rPr>
          <w:color w:val="FF0000"/>
        </w:rPr>
        <w:t>”</w:t>
      </w:r>
    </w:p>
    <w:p w:rsidR="009A4AAD" w:rsidRDefault="009A4AAD" w:rsidP="009A4AAD">
      <w:pPr>
        <w:pStyle w:val="annotation"/>
        <w:spacing w:before="120" w:beforeAutospacing="0"/>
        <w:rPr>
          <w:b/>
          <w:bCs/>
        </w:rPr>
      </w:pPr>
      <w:r w:rsidRPr="005B0194">
        <w:rPr>
          <w:color w:val="FF0000"/>
        </w:rPr>
        <w:t xml:space="preserve">Finally, in 1911, the Court invalidated a restriction on the change of location of the state capital, which Congress had imposed as a condition for the admission of Oklahoma, on the ground that Congress may not embrace in an enabling act conditions relating wholly to matters under state control. In an opinion, from which Justices Holmes and McKenna dissented, Justice Lurton argued: “The power is to admit ‘new States into this Union,’ </w:t>
      </w:r>
      <w:r w:rsidRPr="005B0194">
        <w:rPr>
          <w:b/>
          <w:bCs/>
          <w:color w:val="FF0000"/>
          <w:highlight w:val="yellow"/>
        </w:rPr>
        <w:t>‘This Union’ was and is a union of States, equal in power, dignity and authority, each competent to exert that residuum of sovereignty not delegated to the United States by the Constitution itself.</w:t>
      </w:r>
      <w:r w:rsidRPr="005B0194">
        <w:rPr>
          <w:color w:val="FF0000"/>
        </w:rPr>
        <w:t xml:space="preserve"> To maintain otherwise would be to say that the Union, through the power of Congress to admit new States, might come to be a union of States unequal in power, as including States whose powers were restricted only by the Constitution, with others whose powers had been further restricted by an act of Congress accepted as a condition of admission.”</w:t>
      </w:r>
      <w:r w:rsidRPr="00B30EEF">
        <w:rPr>
          <w:b/>
          <w:bCs/>
        </w:rPr>
        <w:t xml:space="preserve">                                                                                                                             </w:t>
      </w:r>
      <w:r>
        <w:rPr>
          <w:b/>
          <w:bCs/>
        </w:rPr>
        <w:t xml:space="preserve">     </w:t>
      </w:r>
      <w:r w:rsidRPr="00B30EEF">
        <w:rPr>
          <w:b/>
          <w:bCs/>
        </w:rPr>
        <w:t xml:space="preserve"> </w:t>
      </w:r>
      <w:r>
        <w:rPr>
          <w:b/>
          <w:bCs/>
        </w:rPr>
        <w:t xml:space="preserve">                                       </w:t>
      </w:r>
    </w:p>
    <w:p w:rsidR="009A4AAD" w:rsidRPr="005B0194" w:rsidRDefault="009A4AAD" w:rsidP="009A4AAD">
      <w:pPr>
        <w:pStyle w:val="annotation"/>
        <w:rPr>
          <w:color w:val="FF0000"/>
        </w:rPr>
      </w:pPr>
      <w:r w:rsidRPr="005B0194">
        <w:rPr>
          <w:color w:val="FF0000"/>
        </w:rPr>
        <w:t>The equal footing doctrine is generally a limitation upon the terms by which Congress admits a state.</w:t>
      </w:r>
      <w:r>
        <w:t xml:space="preserve"> </w:t>
      </w:r>
      <w:r w:rsidRPr="005B0194">
        <w:rPr>
          <w:color w:val="FF0000"/>
        </w:rPr>
        <w:t xml:space="preserve">That is, </w:t>
      </w:r>
      <w:r w:rsidRPr="009A4AAD">
        <w:rPr>
          <w:b/>
          <w:bCs/>
          <w:color w:val="FF0000"/>
          <w:highlight w:val="yellow"/>
        </w:rPr>
        <w:t>states must be admitted on an equal footing in the sense that Congress may not exact conditions solely as a tribute for admission</w:t>
      </w:r>
      <w:r w:rsidRPr="005B0194">
        <w:rPr>
          <w:color w:val="FF0000"/>
        </w:rPr>
        <w:t>, but it may, in the enabling or admitting acts or subsequently impose requirements that would be or are valid and effectual if the subject of congressional legislation after admission.</w:t>
      </w:r>
      <w:r>
        <w:t xml:space="preserve"> </w:t>
      </w:r>
      <w:r w:rsidRPr="005B0194">
        <w:rPr>
          <w:color w:val="FF0000"/>
        </w:rPr>
        <w:t>Thus, Congress may embrace in an admitting act a regulation of commerce among the states or with Indian tribes or rules for the care and disposition of the public lands or r</w:t>
      </w:r>
      <w:r>
        <w:rPr>
          <w:color w:val="FF0000"/>
        </w:rPr>
        <w:t>eservations within a state. “ [I]</w:t>
      </w:r>
      <w:r w:rsidRPr="005B0194">
        <w:rPr>
          <w:color w:val="FF0000"/>
        </w:rPr>
        <w:t>n every such case such legislation would derive its force not from any agreement or compact with the proposed new State, nor by reason of its acceptance of such enactment as a term of admission, but solely because the power of Congress extended to the subject, and, therefore, would not operate to restrict the State’s legislative power in respect of any matter which was not plainly within the regulating power of Congress.”</w:t>
      </w:r>
    </w:p>
    <w:p w:rsidR="009A4AAD" w:rsidRPr="005B0194" w:rsidRDefault="009A4AAD" w:rsidP="009A4AAD">
      <w:pPr>
        <w:pStyle w:val="annotation"/>
        <w:rPr>
          <w:color w:val="FF0000"/>
        </w:rPr>
      </w:pPr>
      <w:r w:rsidRPr="005B0194">
        <w:rPr>
          <w:color w:val="FF0000"/>
        </w:rPr>
        <w:t>Until recently the requirement of equality has applied primarily to political standing and sovereignty rather than to economic or property rights.</w:t>
      </w:r>
      <w:r>
        <w:t xml:space="preserve"> </w:t>
      </w:r>
      <w:r w:rsidRPr="009A4AAD">
        <w:rPr>
          <w:b/>
          <w:bCs/>
          <w:color w:val="FF0000"/>
          <w:highlight w:val="yellow"/>
        </w:rPr>
        <w:t>Broadly speaking, every new state is entitled to exercise all the powers of government which belong to the original states of the Union.</w:t>
      </w:r>
      <w:r w:rsidRPr="009A4AAD">
        <w:rPr>
          <w:b/>
          <w:bCs/>
        </w:rPr>
        <w:t xml:space="preserve"> </w:t>
      </w:r>
      <w:r w:rsidRPr="009A4AAD">
        <w:rPr>
          <w:b/>
          <w:bCs/>
          <w:color w:val="FF0000"/>
          <w:highlight w:val="yellow"/>
        </w:rPr>
        <w:t>It acquires general jurisdiction, civil and criminal, for the preservation of public order, and the protection of persons and property throughout its limits even as to federal lands, except where the Federal Government has reserved</w:t>
      </w:r>
      <w:r w:rsidRPr="009A4AAD">
        <w:rPr>
          <w:b/>
          <w:bCs/>
        </w:rPr>
        <w:t xml:space="preserve"> </w:t>
      </w:r>
      <w:r w:rsidRPr="009A4AAD">
        <w:rPr>
          <w:b/>
          <w:bCs/>
          <w:color w:val="FF0000"/>
          <w:highlight w:val="yellow"/>
        </w:rPr>
        <w:t>or the state has ceded some degree of jurisdiction to the United States, and, of course, no state may enact a law that would conflict with the constitutional powers of the United States</w:t>
      </w:r>
      <w:r w:rsidRPr="005B0194">
        <w:rPr>
          <w:color w:val="FF0000"/>
        </w:rPr>
        <w:t xml:space="preserve">. Consequently, it has jurisdiction to tax private activities carried on within the public domain (although not to tax the Federal lands), if the tax does not constitute an unconstitutional burden on the Federal </w:t>
      </w:r>
      <w:r w:rsidRPr="005B0194">
        <w:rPr>
          <w:color w:val="FF0000"/>
        </w:rPr>
        <w:lastRenderedPageBreak/>
        <w:t xml:space="preserve">Government. Statutes applicable to territories, </w:t>
      </w:r>
      <w:r w:rsidRPr="005B0194">
        <w:rPr>
          <w:rStyle w:val="Emphasis"/>
          <w:color w:val="FF0000"/>
        </w:rPr>
        <w:t>e.g.</w:t>
      </w:r>
      <w:r w:rsidRPr="005B0194">
        <w:rPr>
          <w:color w:val="FF0000"/>
        </w:rPr>
        <w:t>, the Northwest Territory Ordinance of 1787, cease to have any operative force when the territory, or any part thereof, is admitted to the Union, except as adopted by state law. When the enabling act contains no exclusion of jurisdiction as to crimes committed on Indian reservations by persons other than Indians, state courts are vested with jurisdiction.But the constitutional authority of Congress to regulate commerce with Indian tribes is not inconsistent with the equality of new states, and conditions inserted in the New Mexico Enabling Act forbidding the introduction of liquor into Indian territory were therefore valid.</w:t>
      </w:r>
      <w:hyperlink r:id="rId12" w:anchor="fn285art4" w:history="1">
        <w:r w:rsidRPr="005B0194">
          <w:rPr>
            <w:rStyle w:val="Hyperlink"/>
            <w:color w:val="FF0000"/>
          </w:rPr>
          <w:t>285</w:t>
        </w:r>
      </w:hyperlink>
      <w:r w:rsidRPr="005B0194">
        <w:rPr>
          <w:color w:val="FF0000"/>
        </w:rPr>
        <w:t xml:space="preserve"> Similarly, Indian treaty rights to hunt, fish, and gather on lands ceded to the Federal Government were not extinguished by statehood. These “usufructuary” rights were subject to reasonable state regulation, and hence</w:t>
      </w:r>
      <w:r>
        <w:rPr>
          <w:color w:val="FF0000"/>
        </w:rPr>
        <w:t xml:space="preserve"> were not irreconcilable </w:t>
      </w:r>
      <w:r w:rsidRPr="005B0194">
        <w:rPr>
          <w:color w:val="FF0000"/>
        </w:rPr>
        <w:t>with state sovereignty over natural resources.</w:t>
      </w:r>
    </w:p>
    <w:p w:rsidR="009A4AAD" w:rsidRPr="005B0194" w:rsidRDefault="009A4AAD" w:rsidP="009A4AAD">
      <w:pPr>
        <w:pStyle w:val="annotation"/>
        <w:rPr>
          <w:color w:val="FF0000"/>
        </w:rPr>
      </w:pPr>
      <w:r w:rsidRPr="005B0194">
        <w:rPr>
          <w:color w:val="FF0000"/>
        </w:rPr>
        <w:t>Admission of a state on an equal footing with the original states involves the adoption as citizens of the United States of those whom Congress makes members of the political community and who are recognized as such in the formation of the new state.</w:t>
      </w:r>
    </w:p>
    <w:p w:rsidR="009A4AAD" w:rsidRDefault="009A4AAD" w:rsidP="009A4AAD">
      <w:pPr>
        <w:pStyle w:val="NormalWeb"/>
        <w:shd w:val="clear" w:color="auto" w:fill="FFFFFF"/>
        <w:spacing w:before="0" w:beforeAutospacing="0" w:after="150" w:afterAutospacing="0"/>
        <w:ind w:firstLine="240"/>
        <w:rPr>
          <w:rFonts w:asciiTheme="majorBidi" w:hAnsiTheme="majorBidi" w:cstheme="majorBidi"/>
          <w:color w:val="FF0000"/>
        </w:rPr>
      </w:pPr>
    </w:p>
    <w:sectPr w:rsidR="009A4AAD" w:rsidSect="006F68B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18B" w:rsidRDefault="00C5018B" w:rsidP="005D6AA3">
      <w:r>
        <w:separator/>
      </w:r>
    </w:p>
  </w:endnote>
  <w:endnote w:type="continuationSeparator" w:id="1">
    <w:p w:rsidR="00C5018B" w:rsidRDefault="00C5018B" w:rsidP="005D6A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18B" w:rsidRDefault="00C5018B" w:rsidP="005D6AA3">
      <w:r>
        <w:separator/>
      </w:r>
    </w:p>
  </w:footnote>
  <w:footnote w:type="continuationSeparator" w:id="1">
    <w:p w:rsidR="00C5018B" w:rsidRDefault="00C5018B" w:rsidP="005D6A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6AA3"/>
    <w:rsid w:val="00117E3F"/>
    <w:rsid w:val="00151268"/>
    <w:rsid w:val="0015647C"/>
    <w:rsid w:val="001F4689"/>
    <w:rsid w:val="00231DA1"/>
    <w:rsid w:val="00280935"/>
    <w:rsid w:val="00345DCC"/>
    <w:rsid w:val="003B5B54"/>
    <w:rsid w:val="003C1845"/>
    <w:rsid w:val="003D1E93"/>
    <w:rsid w:val="00445E28"/>
    <w:rsid w:val="00536F9C"/>
    <w:rsid w:val="005A19E0"/>
    <w:rsid w:val="005B0194"/>
    <w:rsid w:val="005D6AA3"/>
    <w:rsid w:val="006245F2"/>
    <w:rsid w:val="006F68B8"/>
    <w:rsid w:val="00727F0B"/>
    <w:rsid w:val="00775211"/>
    <w:rsid w:val="008311C4"/>
    <w:rsid w:val="00856C92"/>
    <w:rsid w:val="00894590"/>
    <w:rsid w:val="00922D1F"/>
    <w:rsid w:val="0093498E"/>
    <w:rsid w:val="009A4AAD"/>
    <w:rsid w:val="009D796E"/>
    <w:rsid w:val="009F5D7E"/>
    <w:rsid w:val="00AA1652"/>
    <w:rsid w:val="00AA601D"/>
    <w:rsid w:val="00AC36A6"/>
    <w:rsid w:val="00C22901"/>
    <w:rsid w:val="00C5018B"/>
    <w:rsid w:val="00C72603"/>
    <w:rsid w:val="00D64AEF"/>
    <w:rsid w:val="00E56A01"/>
    <w:rsid w:val="00EA2158"/>
    <w:rsid w:val="00EB01A7"/>
    <w:rsid w:val="00EB3844"/>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AA3"/>
    <w:pPr>
      <w:spacing w:after="0" w:line="240" w:lineRule="auto"/>
      <w:jc w:val="center"/>
    </w:pPr>
    <w:rPr>
      <w:lang w:val="en-US"/>
    </w:rPr>
  </w:style>
  <w:style w:type="paragraph" w:styleId="Heading1">
    <w:name w:val="heading 1"/>
    <w:basedOn w:val="Normal"/>
    <w:next w:val="Normal"/>
    <w:link w:val="Heading1Char"/>
    <w:uiPriority w:val="9"/>
    <w:qFormat/>
    <w:rsid w:val="005D6A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D6AA3"/>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AA3"/>
    <w:pPr>
      <w:jc w:val="left"/>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5D6AA3"/>
    <w:rPr>
      <w:rFonts w:ascii="Tahoma" w:hAnsi="Tahoma" w:cs="Tahoma"/>
      <w:sz w:val="16"/>
      <w:szCs w:val="16"/>
    </w:rPr>
  </w:style>
  <w:style w:type="character" w:customStyle="1" w:styleId="Heading1Char">
    <w:name w:val="Heading 1 Char"/>
    <w:basedOn w:val="DefaultParagraphFont"/>
    <w:link w:val="Heading1"/>
    <w:uiPriority w:val="9"/>
    <w:rsid w:val="005D6AA3"/>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5D6AA3"/>
    <w:rPr>
      <w:rFonts w:ascii="Times New Roman" w:eastAsia="Times New Roman" w:hAnsi="Times New Roman" w:cs="Times New Roman"/>
      <w:b/>
      <w:bCs/>
      <w:sz w:val="36"/>
      <w:szCs w:val="36"/>
      <w:lang w:val="en-US"/>
    </w:rPr>
  </w:style>
  <w:style w:type="paragraph" w:styleId="NormalWeb">
    <w:name w:val="Normal (Web)"/>
    <w:basedOn w:val="Normal"/>
    <w:uiPriority w:val="99"/>
    <w:unhideWhenUsed/>
    <w:rsid w:val="005D6AA3"/>
    <w:pPr>
      <w:spacing w:before="100" w:beforeAutospacing="1" w:after="100" w:afterAutospacing="1"/>
      <w:jc w:val="left"/>
    </w:pPr>
    <w:rPr>
      <w:rFonts w:ascii="Times New Roman" w:eastAsia="Times New Roman" w:hAnsi="Times New Roman" w:cs="Times New Roman"/>
      <w:sz w:val="24"/>
      <w:szCs w:val="24"/>
    </w:rPr>
  </w:style>
  <w:style w:type="paragraph" w:customStyle="1" w:styleId="annotation">
    <w:name w:val="annotation"/>
    <w:basedOn w:val="Normal"/>
    <w:rsid w:val="005D6AA3"/>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6AA3"/>
    <w:rPr>
      <w:color w:val="0000FF"/>
      <w:u w:val="single"/>
    </w:rPr>
  </w:style>
  <w:style w:type="character" w:styleId="Emphasis">
    <w:name w:val="Emphasis"/>
    <w:basedOn w:val="DefaultParagraphFont"/>
    <w:uiPriority w:val="20"/>
    <w:qFormat/>
    <w:rsid w:val="005D6AA3"/>
    <w:rPr>
      <w:i/>
      <w:iCs/>
    </w:rPr>
  </w:style>
  <w:style w:type="character" w:customStyle="1" w:styleId="hvr">
    <w:name w:val="hvr"/>
    <w:basedOn w:val="DefaultParagraphFont"/>
    <w:rsid w:val="005D6AA3"/>
  </w:style>
  <w:style w:type="paragraph" w:styleId="Header">
    <w:name w:val="header"/>
    <w:basedOn w:val="Normal"/>
    <w:link w:val="HeaderChar"/>
    <w:uiPriority w:val="99"/>
    <w:semiHidden/>
    <w:unhideWhenUsed/>
    <w:rsid w:val="005D6AA3"/>
    <w:pPr>
      <w:tabs>
        <w:tab w:val="center" w:pos="4680"/>
        <w:tab w:val="right" w:pos="9360"/>
      </w:tabs>
    </w:pPr>
  </w:style>
  <w:style w:type="character" w:customStyle="1" w:styleId="HeaderChar">
    <w:name w:val="Header Char"/>
    <w:basedOn w:val="DefaultParagraphFont"/>
    <w:link w:val="Header"/>
    <w:uiPriority w:val="99"/>
    <w:semiHidden/>
    <w:rsid w:val="005D6AA3"/>
    <w:rPr>
      <w:lang w:val="en-US"/>
    </w:rPr>
  </w:style>
  <w:style w:type="paragraph" w:styleId="Footer">
    <w:name w:val="footer"/>
    <w:basedOn w:val="Normal"/>
    <w:link w:val="FooterChar"/>
    <w:uiPriority w:val="99"/>
    <w:semiHidden/>
    <w:unhideWhenUsed/>
    <w:rsid w:val="005D6AA3"/>
    <w:pPr>
      <w:tabs>
        <w:tab w:val="center" w:pos="4680"/>
        <w:tab w:val="right" w:pos="9360"/>
      </w:tabs>
    </w:pPr>
  </w:style>
  <w:style w:type="character" w:customStyle="1" w:styleId="FooterChar">
    <w:name w:val="Footer Char"/>
    <w:basedOn w:val="DefaultParagraphFont"/>
    <w:link w:val="Footer"/>
    <w:uiPriority w:val="99"/>
    <w:semiHidden/>
    <w:rsid w:val="005D6AA3"/>
    <w:rPr>
      <w:lang w:val="en-US"/>
    </w:rPr>
  </w:style>
</w:styles>
</file>

<file path=word/webSettings.xml><?xml version="1.0" encoding="utf-8"?>
<w:webSettings xmlns:r="http://schemas.openxmlformats.org/officeDocument/2006/relationships" xmlns:w="http://schemas.openxmlformats.org/wordprocessingml/2006/main">
  <w:divs>
    <w:div w:id="540291917">
      <w:bodyDiv w:val="1"/>
      <w:marLeft w:val="0"/>
      <w:marRight w:val="0"/>
      <w:marTop w:val="0"/>
      <w:marBottom w:val="0"/>
      <w:divBdr>
        <w:top w:val="none" w:sz="0" w:space="0" w:color="auto"/>
        <w:left w:val="none" w:sz="0" w:space="0" w:color="auto"/>
        <w:bottom w:val="none" w:sz="0" w:space="0" w:color="auto"/>
        <w:right w:val="none" w:sz="0" w:space="0" w:color="auto"/>
      </w:divBdr>
    </w:div>
    <w:div w:id="1612933033">
      <w:bodyDiv w:val="1"/>
      <w:marLeft w:val="0"/>
      <w:marRight w:val="0"/>
      <w:marTop w:val="0"/>
      <w:marBottom w:val="0"/>
      <w:divBdr>
        <w:top w:val="none" w:sz="0" w:space="0" w:color="auto"/>
        <w:left w:val="none" w:sz="0" w:space="0" w:color="auto"/>
        <w:bottom w:val="none" w:sz="0" w:space="0" w:color="auto"/>
        <w:right w:val="none" w:sz="0" w:space="0" w:color="auto"/>
      </w:divBdr>
    </w:div>
    <w:div w:id="1846361947">
      <w:bodyDiv w:val="1"/>
      <w:marLeft w:val="0"/>
      <w:marRight w:val="0"/>
      <w:marTop w:val="0"/>
      <w:marBottom w:val="0"/>
      <w:divBdr>
        <w:top w:val="none" w:sz="0" w:space="0" w:color="auto"/>
        <w:left w:val="none" w:sz="0" w:space="0" w:color="auto"/>
        <w:bottom w:val="none" w:sz="0" w:space="0" w:color="auto"/>
        <w:right w:val="none" w:sz="0" w:space="0" w:color="auto"/>
      </w:divBdr>
    </w:div>
    <w:div w:id="19790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dictionary.thefreedictionary.com/Strict+Scrutin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aw.cornell.edu/constitution-conan/article-4/section-3/clause-1/doctrine-of-the-equality-of-stat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egal-dictionary.thefreedictionary.com/Violence+against+Women+Act+of+1994" TargetMode="External"/><Relationship Id="rId5" Type="http://schemas.openxmlformats.org/officeDocument/2006/relationships/footnotes" Target="footnotes.xml"/><Relationship Id="rId10" Type="http://schemas.openxmlformats.org/officeDocument/2006/relationships/hyperlink" Target="https://legal-dictionary.thefreedictionary.com/Child+Custody" TargetMode="External"/><Relationship Id="rId4" Type="http://schemas.openxmlformats.org/officeDocument/2006/relationships/webSettings" Target="webSettings.xml"/><Relationship Id="rId9" Type="http://schemas.openxmlformats.org/officeDocument/2006/relationships/hyperlink" Target="https://legal-dictionary.thefreedictionary.com/equal+prote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38908-869B-48BC-9255-5AD53BC0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2397</Words>
  <Characters>13666</Characters>
  <Application>Microsoft Office Word</Application>
  <DocSecurity>0</DocSecurity>
  <Lines>113</Lines>
  <Paragraphs>32</Paragraphs>
  <ScaleCrop>false</ScaleCrop>
  <Company/>
  <LinksUpToDate>false</LinksUpToDate>
  <CharactersWithSpaces>16031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2020-12-18T20:28:00Z</cp:lastPrinted>
  <dcterms:created xsi:type="dcterms:W3CDTF">2025-09-13T17:40:00Z</dcterms:created>
  <dcterms:modified xsi:type="dcterms:W3CDTF">2025-09-13T18:25:00Z</dcterms:modified>
</cp:coreProperties>
</file>